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2C3C5" w14:textId="77777777" w:rsidR="00571CD6" w:rsidRPr="00872946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872946">
        <w:rPr>
          <w:rFonts w:eastAsia="PMingLiU"/>
          <w:sz w:val="22"/>
          <w:szCs w:val="22"/>
          <w:lang w:eastAsia="zh-TW"/>
        </w:rPr>
        <w:t>Załącznik</w:t>
      </w:r>
      <w:r w:rsidR="00372E3E" w:rsidRPr="00872946">
        <w:rPr>
          <w:rFonts w:eastAsia="PMingLiU"/>
          <w:sz w:val="22"/>
          <w:szCs w:val="22"/>
          <w:lang w:eastAsia="zh-TW"/>
        </w:rPr>
        <w:t xml:space="preserve"> </w:t>
      </w:r>
      <w:r w:rsidRPr="00872946">
        <w:rPr>
          <w:rFonts w:eastAsia="PMingLiU"/>
          <w:sz w:val="22"/>
          <w:szCs w:val="22"/>
          <w:lang w:eastAsia="zh-TW"/>
        </w:rPr>
        <w:t>B.6.</w:t>
      </w:r>
    </w:p>
    <w:p w14:paraId="7D9D4D54" w14:textId="77777777" w:rsidR="00F92886" w:rsidRPr="00872946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16AC9DE2" w14:textId="77777777" w:rsidR="00AC597A" w:rsidRPr="00872946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872946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872946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872946">
        <w:rPr>
          <w:rFonts w:eastAsia="PMingLiU"/>
          <w:b/>
          <w:sz w:val="28"/>
          <w:szCs w:val="28"/>
          <w:lang w:eastAsia="zh-TW"/>
        </w:rPr>
        <w:t>RAKA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PŁUCA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(ICD-10</w:t>
      </w:r>
      <w:r w:rsidR="00CF21AB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872946">
        <w:rPr>
          <w:rFonts w:eastAsia="PMingLiU"/>
          <w:b/>
          <w:sz w:val="28"/>
          <w:szCs w:val="28"/>
          <w:lang w:eastAsia="zh-TW"/>
        </w:rPr>
        <w:t>C</w:t>
      </w:r>
      <w:r w:rsidRPr="00872946">
        <w:rPr>
          <w:rFonts w:eastAsia="PMingLiU"/>
          <w:b/>
          <w:sz w:val="28"/>
          <w:szCs w:val="28"/>
          <w:lang w:eastAsia="zh-TW"/>
        </w:rPr>
        <w:t>34)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ORAZ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(ICD-10</w:t>
      </w:r>
      <w:r w:rsidR="00034ADE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872946" w14:paraId="45B069AE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bookmarkEnd w:id="1"/>
          <w:p w14:paraId="77319F12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872946" w14:paraId="46F50ED0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300AB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08CD6C67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872946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45B72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5DACEC0E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424618B4" w14:textId="77777777" w:rsidR="00034ADE" w:rsidRPr="00872946" w:rsidRDefault="001D7CB9" w:rsidP="00C62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872946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162E94C0" w14:textId="77777777" w:rsidR="00E24212" w:rsidRPr="00872946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872946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872946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140D37AF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5A1DF550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A58D581" w14:textId="77777777" w:rsidR="006C67CC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D038EBA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e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1C875FBF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070E4A0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872946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55FF977B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u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631CDB" w14:textId="77777777" w:rsidR="00D6054B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A56C8DC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E648ED0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2C7BB2C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3518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3645954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ChPL)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BC3DD42" w14:textId="77777777" w:rsidR="00CE153E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440BFC7A" w14:textId="77777777" w:rsidR="00812E06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872946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872946">
              <w:rPr>
                <w:color w:val="000000" w:themeColor="text1"/>
                <w:sz w:val="20"/>
                <w:szCs w:val="20"/>
              </w:rPr>
              <w:t>a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1AE1A372" w14:textId="77777777" w:rsidR="00C02C2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niekontrolowanych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5D481F0F" w14:textId="77777777" w:rsidR="00C9090B" w:rsidRPr="00872946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2DC69B4" w14:textId="77777777" w:rsidR="00932263" w:rsidRPr="00872946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CCFDD68" w14:textId="77777777" w:rsidR="00C02C28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5D6DAF67" w14:textId="77777777" w:rsidR="0038781F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53EEED57" w14:textId="77777777" w:rsidR="0082165C" w:rsidRPr="00872946" w:rsidRDefault="00C02C28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014042A" w14:textId="77777777" w:rsidR="0082165C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AF085C3" w14:textId="77777777" w:rsidR="00704C7E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2848871F" w14:textId="77777777" w:rsidR="00421DBA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1747EB7" w14:textId="77777777" w:rsidR="006C143A" w:rsidRPr="00872946" w:rsidRDefault="00CD5AA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p</w:t>
            </w:r>
            <w:r w:rsidR="00B05A85" w:rsidRPr="00872946">
              <w:rPr>
                <w:sz w:val="20"/>
                <w:szCs w:val="20"/>
              </w:rPr>
              <w:t>rogresja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choroby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po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145A39" w:rsidRPr="00872946">
              <w:rPr>
                <w:sz w:val="20"/>
                <w:szCs w:val="20"/>
              </w:rPr>
              <w:t>wcześniejszym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zastosowaniu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afatynib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sz w:val="20"/>
                <w:szCs w:val="20"/>
              </w:rPr>
              <w:t>dakomitynibu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erlotynib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gefitynib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FE60AD" w:rsidRPr="00872946">
              <w:rPr>
                <w:sz w:val="20"/>
                <w:szCs w:val="20"/>
              </w:rPr>
              <w:t>;</w:t>
            </w:r>
          </w:p>
          <w:p w14:paraId="6D2DECC6" w14:textId="77777777" w:rsidR="00A308A1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5E14DE9" w14:textId="77777777" w:rsidR="00D6054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F76AAE6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6872FCC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0-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B414A81" w14:textId="77777777" w:rsidR="00CE567C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2D3DC7A" w14:textId="77777777" w:rsidR="005E44D7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74BE1533" w14:textId="77777777" w:rsidR="00027B02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3B404069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AF3D1CA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</w:t>
            </w:r>
            <w:r w:rsidR="002E6EF0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66C3FD75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7DF71DC" w14:textId="77777777" w:rsidR="00DA5803" w:rsidRPr="00872946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21FBE2B" w14:textId="77777777" w:rsidR="00DA5803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radykalnym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chirurgicznym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uzupełniającego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36CF48C5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>r</w:t>
            </w:r>
            <w:r w:rsidR="00DA5803" w:rsidRPr="00872946">
              <w:rPr>
                <w:sz w:val="20"/>
                <w:szCs w:val="20"/>
              </w:rPr>
              <w:t>ozpoznanie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pooperacyjne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gruczołowego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niedrobnokomórkowego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przewagą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komponenty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gruczolakoraka;</w:t>
            </w:r>
          </w:p>
          <w:p w14:paraId="49277C8A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A70504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mutacji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aktywującej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i/>
                <w:iCs/>
                <w:sz w:val="20"/>
                <w:szCs w:val="20"/>
              </w:rPr>
              <w:t>EGFR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delecją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19.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substytucja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21.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testu;</w:t>
            </w:r>
          </w:p>
          <w:p w14:paraId="0AE1A535" w14:textId="77777777" w:rsidR="00A70504" w:rsidRPr="00872946" w:rsidRDefault="00034ADE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z</w:t>
            </w:r>
            <w:r w:rsidR="00A70504" w:rsidRPr="00872946">
              <w:rPr>
                <w:sz w:val="20"/>
                <w:szCs w:val="20"/>
              </w:rPr>
              <w:t>aawansowanie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patomorfologiczne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–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według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UICC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2016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roku;</w:t>
            </w:r>
            <w:r w:rsidR="00372E3E" w:rsidRPr="00872946">
              <w:rPr>
                <w:sz w:val="20"/>
                <w:szCs w:val="20"/>
              </w:rPr>
              <w:t xml:space="preserve"> </w:t>
            </w:r>
          </w:p>
          <w:p w14:paraId="0D8BAB63" w14:textId="77777777" w:rsidR="00A70504" w:rsidRPr="00872946" w:rsidRDefault="000934B2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uprzednie poddanie </w:t>
            </w:r>
            <w:r w:rsidR="00850D0B" w:rsidRPr="00872946">
              <w:rPr>
                <w:sz w:val="20"/>
                <w:szCs w:val="20"/>
              </w:rPr>
              <w:t>radykalnemu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leczeniu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chirurgicznemu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niezależnie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od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zastosowania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chemioterapii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uzupełniającej;</w:t>
            </w:r>
          </w:p>
          <w:p w14:paraId="423AB33B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0FAB61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0-</w:t>
            </w:r>
            <w:r w:rsidR="00FC3906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D28CADB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70FAEB01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65166F16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8B0843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6CD4165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leczeniem;</w:t>
            </w:r>
          </w:p>
          <w:p w14:paraId="5B528C7E" w14:textId="77777777" w:rsidR="00257DA1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8E49E96" w14:textId="77777777" w:rsidR="0052756C" w:rsidRPr="00872946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D62DF28" w14:textId="77777777" w:rsidR="007C5752" w:rsidRPr="00F75CF1" w:rsidRDefault="00B85AE8" w:rsidP="007C5752">
            <w:pPr>
              <w:pStyle w:val="Akapitzlist"/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ab/>
            </w:r>
            <w:r w:rsidR="007C5752" w:rsidRPr="00872946">
              <w:rPr>
                <w:b/>
                <w:bCs/>
                <w:color w:val="000000" w:themeColor="text1"/>
                <w:sz w:val="20"/>
                <w:szCs w:val="20"/>
              </w:rPr>
              <w:tab/>
            </w:r>
            <w:r w:rsidR="007C5752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Chorych na niedrobnokomórkowego raka płuca po radykalnej resekcji z </w:t>
            </w:r>
            <w:proofErr w:type="spellStart"/>
            <w:r w:rsidR="007C5752" w:rsidRPr="00F75CF1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7C5752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w genie ALK z zastosowaniem </w:t>
            </w:r>
            <w:proofErr w:type="spellStart"/>
            <w:r w:rsidR="007C5752" w:rsidRPr="00F75CF1">
              <w:rPr>
                <w:b/>
                <w:bCs/>
                <w:color w:val="000000" w:themeColor="text1"/>
                <w:sz w:val="20"/>
                <w:szCs w:val="20"/>
              </w:rPr>
              <w:t>alektynibu</w:t>
            </w:r>
            <w:proofErr w:type="spellEnd"/>
          </w:p>
          <w:p w14:paraId="2517BA2E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rozpoznanie pooperacyjne gruczołowego raka płuca lub niedrobnokomórkowego raka płuca z przewagą komponenty gruczolakoraka;</w:t>
            </w:r>
          </w:p>
          <w:p w14:paraId="1A4E367A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lastRenderedPageBreak/>
              <w:t>zaawansowanie patomorfologiczne od IB (guzy≥ 4 cm) do IIIA wg 7. edycji klasyfikacji TNM;</w:t>
            </w:r>
          </w:p>
          <w:p w14:paraId="458CAFE6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wcześniejsze radykalne leczenie chirurgiczne (cecha R0) w okresie do 12 tygodni przed rozpoczęciem leczenia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4144F2A1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brak wcześniejszego leczenia chemioterapią lub radioterapią;</w:t>
            </w:r>
          </w:p>
          <w:p w14:paraId="0D1CEFCB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obecność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w genie ALK na podstawie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A280867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5CD72019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43F74044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7F693ABB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czynność układu krwiotwórczego umożliwiająca leczenie zgodnie z aktualną ChPL;</w:t>
            </w:r>
          </w:p>
          <w:p w14:paraId="02FF0376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0C346C29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określonych w 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52260D67" w14:textId="77777777" w:rsidR="007C5752" w:rsidRPr="00F75CF1" w:rsidRDefault="007C5752" w:rsidP="00F75CF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18DD1535" w14:textId="77777777" w:rsidR="007C5752" w:rsidRPr="0065352C" w:rsidRDefault="007C5752" w:rsidP="007C5752">
            <w:pPr>
              <w:ind w:left="0" w:firstLine="0"/>
              <w:rPr>
                <w:color w:val="000000"/>
                <w:sz w:val="20"/>
                <w:szCs w:val="20"/>
              </w:rPr>
            </w:pPr>
            <w:r w:rsidRPr="00F75CF1">
              <w:rPr>
                <w:color w:val="000000"/>
                <w:sz w:val="20"/>
                <w:szCs w:val="20"/>
              </w:rPr>
              <w:t>Kryteria kwalifikacji muszą być spełnione łącznie.</w:t>
            </w:r>
          </w:p>
          <w:p w14:paraId="3D62ABBA" w14:textId="748352EA" w:rsidR="007C5752" w:rsidRDefault="007C5752" w:rsidP="007C5752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5A487AE" w14:textId="59701F03" w:rsidR="0052756C" w:rsidRPr="00872946" w:rsidRDefault="00B85AE8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Chorych na niedrobnokomórkowego raka płuca po radykalnej resekcji i pooperacyjnej chemioterapii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53F5F7F9" w14:textId="77777777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rozpoznanie histologiczne niedrobnokomórkowego raka płuca;</w:t>
            </w:r>
          </w:p>
          <w:p w14:paraId="1E36FC87" w14:textId="77777777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zaawansowanie pooperacyjne </w:t>
            </w:r>
            <w:r w:rsidR="00AD29D7" w:rsidRPr="00872946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3E827E31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2F2FEBA7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5C7034F1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wcześniejsza radykalna (cecha R0) resekcja guza płuca 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57ABE222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780F115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519DC8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C2ED6E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2BF63E7F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0C8500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3FB1DCE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czynność układu krwiotwórczego umożliwiająca leczenie zgodnie z ChPL;</w:t>
            </w:r>
          </w:p>
          <w:p w14:paraId="25736527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56FC529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28F991B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09582D64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6D21E3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15DEB386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ustąpienie lub zmniejszenie do 1. stopnia niepożądanych działań związanych z wcześniejszym leczeniem (wyjątek: utrata owłosienia);</w:t>
            </w:r>
          </w:p>
          <w:p w14:paraId="1B99D95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33F19D" w14:textId="77777777" w:rsidR="00B85AE8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BC8FC68" w14:textId="77777777" w:rsidR="00257DA1" w:rsidRPr="00872946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8882308" w14:textId="77777777" w:rsidR="008D0564" w:rsidRPr="00872946" w:rsidRDefault="008D0564" w:rsidP="00E50798">
            <w:pPr>
              <w:pStyle w:val="Akapitzlist"/>
              <w:numPr>
                <w:ilvl w:val="1"/>
                <w:numId w:val="23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872946">
              <w:rPr>
                <w:b/>
                <w:bCs/>
                <w:sz w:val="20"/>
                <w:szCs w:val="20"/>
              </w:rPr>
              <w:t xml:space="preserve">Chorych na niedrobnokomórkowego raka płuca, kwalifikujących się do radykalnej resekcji chirurgicznej, do leczenia wstępnego z zastosowaniem </w:t>
            </w:r>
            <w:proofErr w:type="spellStart"/>
            <w:r w:rsidRPr="00872946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872946">
              <w:rPr>
                <w:b/>
                <w:bCs/>
                <w:sz w:val="20"/>
                <w:szCs w:val="20"/>
              </w:rPr>
              <w:t xml:space="preserve"> w skojarzeniu z chemioterapią</w:t>
            </w:r>
          </w:p>
          <w:p w14:paraId="49B4D07C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rozpoznanie histologiczne niedrobnokomórkowego raka płuca;</w:t>
            </w:r>
          </w:p>
          <w:p w14:paraId="38AEF21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stopień zaawansowania klinicznego:  II - IIIA</w:t>
            </w:r>
            <w:r w:rsidRPr="00872946">
              <w:t xml:space="preserve"> </w:t>
            </w:r>
            <w:r w:rsidRPr="00872946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2A899241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872946">
              <w:rPr>
                <w:sz w:val="20"/>
                <w:szCs w:val="20"/>
              </w:rPr>
              <w:t xml:space="preserve">PD-L1 na komórkach nowotworowych ≥ 1% potwierdzony na podstawie </w:t>
            </w:r>
            <w:proofErr w:type="spellStart"/>
            <w:r w:rsidRPr="00872946">
              <w:rPr>
                <w:sz w:val="20"/>
                <w:szCs w:val="20"/>
              </w:rPr>
              <w:t>zwalidowanego</w:t>
            </w:r>
            <w:proofErr w:type="spellEnd"/>
            <w:r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ABC88CC" w14:textId="77777777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</w:t>
            </w:r>
            <w:r w:rsidR="008D0564" w:rsidRPr="00872946">
              <w:rPr>
                <w:sz w:val="20"/>
                <w:szCs w:val="20"/>
              </w:rPr>
              <w:t xml:space="preserve">mutacji aktywujących w genie EGFR oraz </w:t>
            </w:r>
            <w:proofErr w:type="spellStart"/>
            <w:r w:rsidR="008D0564" w:rsidRPr="00872946">
              <w:rPr>
                <w:sz w:val="20"/>
                <w:szCs w:val="20"/>
              </w:rPr>
              <w:t>rearanżacji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w genach ALK i ROS1 w przypadku raków innych niż płaskonabłonkowy potwierdzon</w:t>
            </w:r>
            <w:r w:rsidRPr="00872946">
              <w:rPr>
                <w:sz w:val="20"/>
                <w:szCs w:val="20"/>
              </w:rPr>
              <w:t>a</w:t>
            </w:r>
            <w:r w:rsidR="008D0564" w:rsidRPr="00872946">
              <w:rPr>
                <w:sz w:val="20"/>
                <w:szCs w:val="20"/>
              </w:rPr>
              <w:t xml:space="preserve"> na podstawie </w:t>
            </w:r>
            <w:proofErr w:type="spellStart"/>
            <w:r w:rsidR="008D0564" w:rsidRPr="00872946">
              <w:rPr>
                <w:sz w:val="20"/>
                <w:szCs w:val="20"/>
              </w:rPr>
              <w:t>zwalidowanego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DD8FB5D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wiek powyżej 18 roku życia;</w:t>
            </w:r>
          </w:p>
          <w:p w14:paraId="782FDEFF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sz w:val="20"/>
                <w:szCs w:val="20"/>
              </w:rPr>
              <w:t>Zubroda</w:t>
            </w:r>
            <w:proofErr w:type="spellEnd"/>
            <w:r w:rsidRPr="00872946">
              <w:rPr>
                <w:sz w:val="20"/>
                <w:szCs w:val="20"/>
              </w:rPr>
              <w:t>-WHO lub ECOG;</w:t>
            </w:r>
          </w:p>
          <w:p w14:paraId="5F8AD006" w14:textId="77777777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</w:t>
            </w:r>
            <w:r w:rsidR="008D0564" w:rsidRPr="00872946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6B5B6BE4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wydolność układu oddechowego umożliwiająca kwalifikację do resekcji chirurgicznej; </w:t>
            </w:r>
          </w:p>
          <w:p w14:paraId="2D46F161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15A6F147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>nieobecność aktywnych chorób autoimmunologicznych stanowiących przeciwwskazanie do immunoterapii lub chemioterapii;</w:t>
            </w:r>
          </w:p>
          <w:p w14:paraId="4082FEDE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czynność układu krwiotwórczego umożliwiająca leczenie zgodnie z aktualną ChPL;</w:t>
            </w:r>
          </w:p>
          <w:p w14:paraId="7C786ED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czynność nerek i wątroby umożliwiająca leczenie zgodnie z aktualną ChPL;</w:t>
            </w:r>
          </w:p>
          <w:p w14:paraId="33408F3C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872946">
              <w:rPr>
                <w:sz w:val="20"/>
                <w:szCs w:val="20"/>
              </w:rPr>
              <w:t>niwolumabu</w:t>
            </w:r>
            <w:proofErr w:type="spellEnd"/>
            <w:r w:rsidRPr="00872946">
              <w:rPr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4EC3D0EE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49331606" w14:textId="77777777" w:rsidR="008D0564" w:rsidRPr="00872946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Kryteria kwalifikowania muszą być spełnione łącznie.</w:t>
            </w:r>
          </w:p>
          <w:p w14:paraId="47E0BCAB" w14:textId="77777777" w:rsidR="008D0564" w:rsidRPr="00872946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3B2D9D2" w14:textId="77777777" w:rsidR="00AB1564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F5AFDC4" w14:textId="77777777" w:rsidR="00380579" w:rsidRPr="00872946" w:rsidRDefault="00A40EC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70C6360C" w14:textId="77777777" w:rsidR="001A03CD" w:rsidRPr="00872946" w:rsidRDefault="00AB156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4" w:name="_Hlk121818499"/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4"/>
          <w:p w14:paraId="7F144F22" w14:textId="77777777" w:rsidR="00F8515A" w:rsidRPr="00872946" w:rsidRDefault="00A22519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872946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872946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92CD764" w14:textId="77777777" w:rsidR="007F0ED5" w:rsidRPr="00872946" w:rsidRDefault="007F0ED5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</w:p>
          <w:p w14:paraId="585003E6" w14:textId="77777777" w:rsidR="00D6054B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0B26FF7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287E0F4E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071DDC23" w14:textId="77777777" w:rsidR="00BA7CCD" w:rsidRPr="00872946" w:rsidRDefault="00D6054B" w:rsidP="00E50798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1F92D20E" w14:textId="77777777" w:rsidR="00BA7C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7D5BBC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ALK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Cs/>
                <w:sz w:val="20"/>
                <w:szCs w:val="20"/>
              </w:rPr>
              <w:t>lub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ROS1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testu;</w:t>
            </w:r>
          </w:p>
          <w:p w14:paraId="5E91246C" w14:textId="77777777" w:rsidR="00BC6455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12F2C10" w14:textId="77777777" w:rsidR="00917CBE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09BA19B6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37921ED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027B02" w:rsidRPr="00872946">
              <w:rPr>
                <w:sz w:val="20"/>
                <w:szCs w:val="20"/>
              </w:rPr>
              <w:t>iek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powyżej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18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roku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życia;</w:t>
            </w:r>
          </w:p>
          <w:p w14:paraId="19175907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</w:t>
            </w:r>
            <w:r w:rsidR="00027B02" w:rsidRPr="00872946">
              <w:rPr>
                <w:sz w:val="20"/>
                <w:szCs w:val="20"/>
              </w:rPr>
              <w:t>prawność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0-2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872946">
              <w:rPr>
                <w:sz w:val="20"/>
                <w:szCs w:val="20"/>
              </w:rPr>
              <w:t>Zubroda</w:t>
            </w:r>
            <w:proofErr w:type="spellEnd"/>
            <w:r w:rsidR="00027B02" w:rsidRPr="00872946">
              <w:rPr>
                <w:sz w:val="20"/>
                <w:szCs w:val="20"/>
              </w:rPr>
              <w:t>-WHO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ECOG;</w:t>
            </w:r>
          </w:p>
          <w:p w14:paraId="2FBF2E1F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459272A" w14:textId="77777777" w:rsidR="0071790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71790D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układu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krwiotwórczego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A7CCD" w:rsidRPr="00872946">
              <w:rPr>
                <w:sz w:val="20"/>
                <w:szCs w:val="20"/>
              </w:rPr>
              <w:t>ChPL</w:t>
            </w:r>
            <w:r w:rsidR="0071790D" w:rsidRPr="00872946">
              <w:rPr>
                <w:sz w:val="20"/>
                <w:szCs w:val="20"/>
              </w:rPr>
              <w:t>;</w:t>
            </w:r>
          </w:p>
          <w:p w14:paraId="7B40502B" w14:textId="77777777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027B02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A7CCD" w:rsidRPr="00872946">
              <w:rPr>
                <w:sz w:val="20"/>
                <w:szCs w:val="20"/>
              </w:rPr>
              <w:t>C</w:t>
            </w:r>
            <w:r w:rsidR="00651892" w:rsidRPr="00872946">
              <w:rPr>
                <w:sz w:val="20"/>
                <w:szCs w:val="20"/>
              </w:rPr>
              <w:t>h</w:t>
            </w:r>
            <w:r w:rsidR="00BA7CCD" w:rsidRPr="00872946">
              <w:rPr>
                <w:sz w:val="20"/>
                <w:szCs w:val="20"/>
              </w:rPr>
              <w:t>PL</w:t>
            </w:r>
            <w:r w:rsidR="00711AAB" w:rsidRPr="00872946">
              <w:rPr>
                <w:sz w:val="20"/>
                <w:szCs w:val="20"/>
              </w:rPr>
              <w:t>;</w:t>
            </w:r>
          </w:p>
          <w:p w14:paraId="6D50809F" w14:textId="77777777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872946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y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872946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BA7CC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4634F78" w14:textId="77777777" w:rsidR="000E3EDF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</w:t>
            </w:r>
            <w:r w:rsidR="000E3EDF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E3EDF" w:rsidRPr="00872946">
              <w:rPr>
                <w:sz w:val="20"/>
                <w:szCs w:val="20"/>
              </w:rPr>
              <w:t>leczeniem.</w:t>
            </w:r>
          </w:p>
          <w:p w14:paraId="30EC843D" w14:textId="77777777" w:rsidR="00867489" w:rsidRPr="00872946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C99E33C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6AF7526" w14:textId="4B8DC60E" w:rsidR="007C2408" w:rsidRPr="00F75CF1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21384546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="00DF3143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dotyczy wyłącznie chorych, u których nie była wcześniej stosowana immunoterapia lub </w:t>
            </w:r>
            <w:proofErr w:type="spellStart"/>
            <w:r w:rsidR="00DF3143" w:rsidRPr="00F75CF1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F75CF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F75CF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F75CF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204C" w:rsidRPr="00F75CF1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F75CF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6771" w:rsidRPr="00F75CF1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F75CF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407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cemiplimab w skojarzeniu z chemioterapią opartą na związkach platyny albo </w:t>
            </w:r>
            <w:proofErr w:type="spellStart"/>
            <w:r w:rsidR="00A52D16" w:rsidRPr="00F75CF1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F75CF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F75CF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F75CF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F75CF1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F75CF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5"/>
          <w:p w14:paraId="042E127E" w14:textId="77777777" w:rsidR="007C2408" w:rsidRPr="00F75CF1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F75CF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F75CF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4204C" w:rsidRPr="00F75CF1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F75CF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D6771" w:rsidRPr="00F75CF1">
              <w:rPr>
                <w:b/>
                <w:color w:val="000000" w:themeColor="text1"/>
                <w:sz w:val="20"/>
                <w:szCs w:val="20"/>
              </w:rPr>
              <w:t>cemiplimab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6881D86" w14:textId="77777777" w:rsidR="007C2408" w:rsidRPr="00F75CF1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F75CF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F75CF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5EE18EE5" w14:textId="77777777" w:rsidR="00177B1B" w:rsidRPr="00F75CF1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F75CF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paklitakselem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b/>
                <w:color w:val="000000" w:themeColor="text1"/>
                <w:sz w:val="20"/>
                <w:szCs w:val="20"/>
              </w:rPr>
              <w:t>karboplatyną</w:t>
            </w:r>
            <w:r w:rsidR="002806F9" w:rsidRPr="00F75CF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0E33D2B8" w14:textId="77777777" w:rsidR="00376261" w:rsidRPr="00F75CF1" w:rsidRDefault="002F5537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F75CF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F75CF1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F75C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D02EBC" w:rsidRPr="00F75CF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527830E" w14:textId="77777777" w:rsidR="00D02EBC" w:rsidRPr="00F75CF1" w:rsidRDefault="00D02EBC" w:rsidP="00D02EBC">
            <w:pPr>
              <w:pStyle w:val="Akapitzlist"/>
              <w:numPr>
                <w:ilvl w:val="5"/>
                <w:numId w:val="37"/>
              </w:numPr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6" w:name="_Hlk175753645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rak płaskonabłonkowy lub niepłaskonabłonkowy z ekspresją PD-L1 ≥ 1% - cemiplimab w skojarzeniu z </w:t>
            </w:r>
            <w:proofErr w:type="spellStart"/>
            <w:r w:rsidR="007302BA" w:rsidRPr="00F75CF1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7302BA" w:rsidRPr="00F75CF1">
              <w:rPr>
                <w:b/>
                <w:color w:val="000000" w:themeColor="text1"/>
                <w:sz w:val="20"/>
                <w:szCs w:val="20"/>
              </w:rPr>
              <w:t xml:space="preserve"> i pochodną platyny lub paklitakselem i pochodną platyny,</w:t>
            </w:r>
          </w:p>
          <w:p w14:paraId="7DB601B2" w14:textId="77777777" w:rsidR="00182822" w:rsidRPr="00F75CF1" w:rsidRDefault="00182822" w:rsidP="00182822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rak płaskonabłonkowy lub NOS z ekspresją PD-L1 &lt; 50% -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gemcytabiną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p w14:paraId="471C7091" w14:textId="0AF23485" w:rsidR="00182822" w:rsidRPr="00F75CF1" w:rsidRDefault="00182822" w:rsidP="00182822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rak niepłaskonabłonkowy z ekspresją PD-L1 &lt; 50%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F75CF1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Pr="00F75CF1">
              <w:rPr>
                <w:b/>
                <w:color w:val="000000" w:themeColor="text1"/>
                <w:sz w:val="20"/>
                <w:szCs w:val="20"/>
              </w:rPr>
              <w:t xml:space="preserve"> i pochodną platyny; </w:t>
            </w:r>
          </w:p>
          <w:bookmarkEnd w:id="6"/>
          <w:p w14:paraId="07DBA25B" w14:textId="77777777" w:rsidR="007C2408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F75CF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F75CF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F75CF1">
              <w:rPr>
                <w:color w:val="000000" w:themeColor="text1"/>
                <w:sz w:val="20"/>
                <w:szCs w:val="20"/>
              </w:rPr>
              <w:t>;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FF030B0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o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e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0C888930" w14:textId="77777777" w:rsidR="007C2408" w:rsidRPr="00872946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r w:rsidR="0034204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D03A138" w14:textId="66D2FA2F" w:rsidR="007C2408" w:rsidRPr="00F75CF1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F75CF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F75CF1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F75CF1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2822" w:rsidRPr="00F75CF1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182822" w:rsidRPr="00F75CF1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F75CF1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F75CF1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F75CF1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3F4CD6AF" w14:textId="77777777" w:rsidR="00D02EBC" w:rsidRPr="00F75CF1" w:rsidRDefault="00D02EBC" w:rsidP="00D02EBC">
            <w:pPr>
              <w:pStyle w:val="Akapitzlist"/>
              <w:numPr>
                <w:ilvl w:val="4"/>
                <w:numId w:val="44"/>
              </w:numPr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odsetek komórek nowotworowych z ekspresją PD-L1 1% lub większy – kryterium kwalifikacji do stosowania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w skojarzeniu z chemioterapią opartą na związkach platyny;</w:t>
            </w:r>
          </w:p>
          <w:p w14:paraId="01D4BC70" w14:textId="77777777" w:rsidR="007C2408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F75CF1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(w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)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594DC564" w14:textId="77777777" w:rsidR="00FE1044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s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F75CF1">
              <w:rPr>
                <w:color w:val="000000" w:themeColor="text1"/>
                <w:sz w:val="20"/>
                <w:szCs w:val="20"/>
              </w:rPr>
              <w:t>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F75CF1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F75CF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79A69B8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o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F75CF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F75CF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F75CF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F75CF1">
              <w:rPr>
                <w:color w:val="000000" w:themeColor="text1"/>
                <w:sz w:val="20"/>
                <w:szCs w:val="20"/>
              </w:rPr>
              <w:t>)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F75CF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9D680E7" w14:textId="77777777" w:rsidR="00FE1044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51BD537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7CF7AC5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5DA59E99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5C234EA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674CCF8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r w:rsidR="0036529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9E84FBC" w14:textId="77777777" w:rsidR="007C2408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7" w:name="_Hlk53404333"/>
            <w:r w:rsidRPr="00F75CF1">
              <w:rPr>
                <w:sz w:val="20"/>
                <w:szCs w:val="20"/>
              </w:rPr>
              <w:t>c</w:t>
            </w:r>
            <w:r w:rsidR="00FE1044" w:rsidRPr="00F75CF1">
              <w:rPr>
                <w:sz w:val="20"/>
                <w:szCs w:val="20"/>
              </w:rPr>
              <w:t>zynność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nerek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i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wątroby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umożliwiająca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leczenie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zgodnie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z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FE1044" w:rsidRPr="00F75CF1">
              <w:rPr>
                <w:sz w:val="20"/>
                <w:szCs w:val="20"/>
              </w:rPr>
              <w:t>aktualną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bookmarkEnd w:id="7"/>
            <w:r w:rsidR="00C65BDE" w:rsidRPr="00F75CF1">
              <w:rPr>
                <w:sz w:val="20"/>
                <w:szCs w:val="20"/>
              </w:rPr>
              <w:t>ChPL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6047D30F" w14:textId="5231BF45" w:rsidR="007C2408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F75CF1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F75CF1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F75CF1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F75CF1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F75CF1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F75CF1">
              <w:rPr>
                <w:color w:val="000000" w:themeColor="text1"/>
                <w:sz w:val="20"/>
                <w:szCs w:val="20"/>
              </w:rPr>
              <w:t>,</w:t>
            </w:r>
            <w:r w:rsidR="00182822" w:rsidRPr="00F75CF1">
              <w:t xml:space="preserve"> </w:t>
            </w:r>
            <w:proofErr w:type="spellStart"/>
            <w:r w:rsidR="00182822" w:rsidRPr="00F75CF1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F75CF1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F75CF1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F75CF1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F75CF1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F75CF1">
              <w:rPr>
                <w:color w:val="000000" w:themeColor="text1"/>
                <w:sz w:val="20"/>
                <w:szCs w:val="20"/>
              </w:rPr>
              <w:t>ChPL;</w:t>
            </w:r>
          </w:p>
          <w:p w14:paraId="3E78D8B7" w14:textId="77777777" w:rsidR="007C2408" w:rsidRPr="00F75CF1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7C2408" w:rsidRPr="00F75CF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F75CF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F75CF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F75CF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F75CF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F75CF1">
              <w:rPr>
                <w:color w:val="000000" w:themeColor="text1"/>
                <w:sz w:val="20"/>
                <w:szCs w:val="20"/>
              </w:rPr>
              <w:t>n</w:t>
            </w:r>
            <w:r w:rsidR="00917CBE" w:rsidRPr="00F75CF1">
              <w:rPr>
                <w:sz w:val="20"/>
                <w:szCs w:val="20"/>
              </w:rPr>
              <w:t>iekontrolowanych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917CBE" w:rsidRPr="00F75CF1">
              <w:rPr>
                <w:sz w:val="20"/>
                <w:szCs w:val="20"/>
              </w:rPr>
              <w:t>leczeniem.</w:t>
            </w:r>
          </w:p>
          <w:p w14:paraId="3D1EBE65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F7B0154" w14:textId="77777777" w:rsidR="00932263" w:rsidRPr="00872946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CEEEF27" w14:textId="77777777" w:rsidR="00354575" w:rsidRPr="00872946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81870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872946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8"/>
          <w:p w14:paraId="45595368" w14:textId="77777777" w:rsidR="00E00AA1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EE18504" w14:textId="77777777" w:rsidR="009941FB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NOS;</w:t>
            </w:r>
          </w:p>
          <w:p w14:paraId="7CB8A1D2" w14:textId="77777777" w:rsidR="00A00A9A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224FE68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ob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040C534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FDA4B88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490931E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0-</w:t>
            </w:r>
            <w:r w:rsidR="00996B4B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6968E9B2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8DA3EFB" w14:textId="77777777" w:rsidR="00902E9F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67AF23E9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5017DE2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A00A9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65471194" w14:textId="77777777" w:rsidR="00C65BDE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872946">
              <w:rPr>
                <w:color w:val="000000" w:themeColor="text1"/>
                <w:sz w:val="20"/>
                <w:szCs w:val="20"/>
              </w:rPr>
              <w:t>o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727A49BB" w14:textId="77777777" w:rsidR="00A94562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86B8B82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0D3EEBE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D7AB3CF" w14:textId="77777777" w:rsidR="00B12EE1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9" w:name="_Hlk12183144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chemioterapii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9"/>
          <w:p w14:paraId="7750DC4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420301D" w14:textId="77777777" w:rsidR="00073506" w:rsidRPr="00872946" w:rsidRDefault="00073506" w:rsidP="00E5079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121831485"/>
            <w:r w:rsidRPr="00872946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bookmarkEnd w:id="10"/>
          <w:p w14:paraId="11E2C6F1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3F6CF83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E83A4C3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B54B451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B965B6D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0-</w:t>
            </w:r>
            <w:r w:rsidR="00CE5C11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23E097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40FDDBC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65E5D21C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3CBA746F" w14:textId="77777777" w:rsidR="008D234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8D234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58118E41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48B3BD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5C8373F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A054BF6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83FE5CB" w14:textId="77777777" w:rsidR="001C0A4D" w:rsidRPr="00872946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65F9D40" w14:textId="77777777" w:rsidR="001C0A4D" w:rsidRPr="00872946" w:rsidRDefault="00DC6735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>horych na niedrobnokomórkowego raka płuca po niepowodzeniu co najmniej jednej wcześniejszej linii leczenia systemowego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zastosowaniem związków platyny)</w:t>
            </w:r>
            <w:r w:rsidRPr="00872946"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5D20678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3F2FB61A" w14:textId="77777777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 gruczołowego lub raka niedrobnokomórkowego z przewagą raka gruczołowego,</w:t>
            </w:r>
          </w:p>
          <w:p w14:paraId="2469CF0D" w14:textId="77777777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 wielkokomórkowego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A38E3C4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38698F7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1DA70F8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2D0A7E30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0697C55E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077B5708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21C68402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57C2F9BF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zynność układu krwiotwórczego umożliwiająca leczenie zgodnie z aktualną ChPL;</w:t>
            </w:r>
          </w:p>
          <w:p w14:paraId="6DF3F6FD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zynność nerek i wątroby umożliwiająca leczenie zgodnie z aktualną ChPL;</w:t>
            </w:r>
          </w:p>
          <w:p w14:paraId="4357499C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br/>
              <w:t>w aktualnej ChPL;</w:t>
            </w:r>
          </w:p>
          <w:p w14:paraId="06AFCFB3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21BFBA54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872946">
              <w:rPr>
                <w:sz w:val="20"/>
                <w:szCs w:val="20"/>
              </w:rPr>
              <w:t>niekontrolowanych leczeniem;</w:t>
            </w:r>
          </w:p>
          <w:p w14:paraId="535BFA1D" w14:textId="77777777" w:rsidR="001C0A4D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A96FCF6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D731559" w14:textId="77777777" w:rsidR="003D5D8F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</w:p>
          <w:p w14:paraId="2306E913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B284D66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342E378B" w14:textId="77777777" w:rsidR="00312335" w:rsidRPr="00872946" w:rsidRDefault="000934B2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(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)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C15A22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31BD0" w:rsidRPr="00872946">
              <w:rPr>
                <w:color w:val="000000" w:themeColor="text1"/>
                <w:sz w:val="20"/>
                <w:szCs w:val="20"/>
              </w:rPr>
              <w:t>t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0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14FA2655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B9D4A0B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C2E668E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872946">
              <w:rPr>
                <w:color w:val="000000" w:themeColor="text1"/>
                <w:sz w:val="20"/>
                <w:szCs w:val="20"/>
              </w:rPr>
              <w:t>y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B21384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24786B03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3AAE118E" w14:textId="77777777" w:rsidR="00312335" w:rsidRPr="00872946" w:rsidRDefault="00031BD0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42E448A8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C65BDE" w:rsidRPr="00872946">
              <w:rPr>
                <w:sz w:val="20"/>
                <w:szCs w:val="20"/>
              </w:rPr>
              <w:t>.</w:t>
            </w:r>
          </w:p>
          <w:p w14:paraId="4AC4273A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221BFDF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3CACC1E" w14:textId="77777777" w:rsidR="009D34EA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albo durwalumabu (w skojarzeniu z pochodną platyny (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56056946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8A47C1F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VA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LG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872946">
              <w:rPr>
                <w:color w:val="000000" w:themeColor="text1"/>
                <w:sz w:val="20"/>
                <w:szCs w:val="20"/>
              </w:rPr>
              <w:t>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3A74FF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2A73C44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4BFF08B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127BD74C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3FF2712" w14:textId="77777777" w:rsidR="002175BC" w:rsidRPr="00872946" w:rsidRDefault="004619B3" w:rsidP="00E50798">
            <w:pPr>
              <w:pStyle w:val="Akapitzlist"/>
              <w:numPr>
                <w:ilvl w:val="3"/>
                <w:numId w:val="42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E8ABAAC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ChPL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B285039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135BA3" w:rsidRPr="00872946">
              <w:rPr>
                <w:sz w:val="20"/>
                <w:szCs w:val="20"/>
              </w:rPr>
              <w:t>ChPL;</w:t>
            </w:r>
          </w:p>
          <w:p w14:paraId="249A583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sz w:val="20"/>
                <w:szCs w:val="20"/>
              </w:rPr>
              <w:t>ChPL</w:t>
            </w:r>
            <w:r w:rsidR="0088061E" w:rsidRPr="00872946">
              <w:rPr>
                <w:sz w:val="20"/>
                <w:szCs w:val="20"/>
              </w:rPr>
              <w:t>;</w:t>
            </w:r>
          </w:p>
          <w:p w14:paraId="5037616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7A1101F" w14:textId="77777777" w:rsidR="009D34EA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8F475B0" w14:textId="77777777" w:rsidR="000D15A4" w:rsidRPr="00872946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553C7AA" w14:textId="77777777" w:rsidR="00932263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0A1F9FCD" w14:textId="77777777" w:rsidR="000D15A4" w:rsidRPr="00872946" w:rsidRDefault="00372E3E" w:rsidP="00E50798">
            <w:pPr>
              <w:pStyle w:val="Akapitzlist"/>
              <w:numPr>
                <w:ilvl w:val="3"/>
                <w:numId w:val="4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r</w:t>
            </w:r>
            <w:r w:rsidR="000D15A4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międzybłoniak</w:t>
            </w:r>
            <w:r w:rsidR="00537DF7" w:rsidRPr="00872946">
              <w:rPr>
                <w:sz w:val="20"/>
                <w:szCs w:val="20"/>
              </w:rPr>
              <w:t>a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opłucnej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niekwalifikując</w:t>
            </w:r>
            <w:r w:rsidR="000F013D" w:rsidRPr="00872946">
              <w:rPr>
                <w:sz w:val="20"/>
                <w:szCs w:val="20"/>
              </w:rPr>
              <w:t>ego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się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do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leczenia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radykalnego;</w:t>
            </w:r>
          </w:p>
          <w:p w14:paraId="7A42232E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564CA641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592DFE8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EA4AE61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EC2BD0C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FDB27EF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597ECF7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606AA435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4862D4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762A756B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sz w:val="20"/>
                <w:szCs w:val="20"/>
              </w:rPr>
              <w:t>ipilimumabu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55E786DA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leczeniem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2E2D3223" w14:textId="77777777" w:rsidR="004862D4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6E9337F" w14:textId="77777777" w:rsidR="00AC3F68" w:rsidRPr="00872946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1C58057" w14:textId="4E99C3C0" w:rsidR="00AC3F68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CD44FB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237BE6F8" w14:textId="77777777" w:rsidR="00CD44FB" w:rsidRPr="00872946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70D97F9D" w14:textId="77777777" w:rsidR="009D34EA" w:rsidRPr="00872946" w:rsidRDefault="009D34EA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1" w:name="_Hlk121818864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1"/>
          <w:p w14:paraId="6301AD75" w14:textId="77777777" w:rsidR="0054669A" w:rsidRPr="00872946" w:rsidRDefault="00E640A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872946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872946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268526C" w14:textId="77777777" w:rsidR="006570B2" w:rsidRPr="00872946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072EC8D0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2" w:name="_Hlk121834554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872946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872946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872946">
              <w:rPr>
                <w:color w:val="000000" w:themeColor="text1"/>
                <w:sz w:val="20"/>
                <w:szCs w:val="20"/>
              </w:rPr>
              <w:t>)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872946"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i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872946"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8DA834B" w14:textId="77777777" w:rsidR="00D34D5E" w:rsidRPr="00F75CF1" w:rsidRDefault="00D34D5E" w:rsidP="00E50798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3" w:name="_Hlk121831659"/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</w:t>
            </w:r>
            <w:r w:rsidRPr="00F75CF1">
              <w:rPr>
                <w:color w:val="000000" w:themeColor="text1"/>
                <w:sz w:val="20"/>
                <w:szCs w:val="20"/>
              </w:rPr>
              <w:t xml:space="preserve">niepożądanych uniemożliwiających kontynuację leczenia lub maksymalnie przez 36 miesięcy. Podczas stosowania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możliwe jest okresowe przerwanie leczenia zgodnie z ChPL;</w:t>
            </w:r>
          </w:p>
          <w:p w14:paraId="78699249" w14:textId="0030A0B9" w:rsidR="007C5752" w:rsidRPr="00F75CF1" w:rsidRDefault="007C5752" w:rsidP="007C5752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 (cecha R0) jest prowadzone do stwierdzenia nawrotu choroby lub wystąpienia działań niepożądanych uniemożliwiających kontynuację leczenia lub maksymalnie przez 24 miesiące. </w:t>
            </w:r>
          </w:p>
          <w:bookmarkEnd w:id="13"/>
          <w:p w14:paraId="61EBA2C5" w14:textId="7B027829" w:rsidR="004A07A7" w:rsidRPr="00F75CF1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F75CF1">
              <w:rPr>
                <w:color w:val="000000" w:themeColor="text1"/>
                <w:sz w:val="20"/>
                <w:szCs w:val="20"/>
              </w:rPr>
              <w:t>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F75CF1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F75CF1">
              <w:rPr>
                <w:color w:val="000000" w:themeColor="text1"/>
                <w:sz w:val="20"/>
                <w:szCs w:val="20"/>
              </w:rPr>
              <w:t>so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F75CF1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F75CF1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F75CF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F75CF1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)</w:t>
            </w:r>
            <w:r w:rsidR="007C5752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F75CF1">
              <w:rPr>
                <w:color w:val="000000"/>
                <w:sz w:val="20"/>
                <w:szCs w:val="20"/>
              </w:rPr>
              <w:t xml:space="preserve">– nie dotyczy stosowania </w:t>
            </w:r>
            <w:proofErr w:type="spellStart"/>
            <w:r w:rsidR="007C5752" w:rsidRPr="00F75CF1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F75CF1">
              <w:rPr>
                <w:color w:val="000000"/>
                <w:sz w:val="20"/>
                <w:szCs w:val="20"/>
              </w:rPr>
              <w:t xml:space="preserve"> w ramach leczenia uzupełniającego po radykalnym leczeniu chirurgicznym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bookmarkEnd w:id="12"/>
          <w:p w14:paraId="27D04732" w14:textId="16B95D21" w:rsidR="00D1218F" w:rsidRPr="00F75CF1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F75CF1">
              <w:rPr>
                <w:color w:val="000000" w:themeColor="text1"/>
                <w:sz w:val="20"/>
                <w:szCs w:val="20"/>
              </w:rPr>
              <w:t>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F75CF1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chirurgia)</w:t>
            </w:r>
            <w:r w:rsidR="007C5752" w:rsidRPr="00F75CF1">
              <w:rPr>
                <w:color w:val="000000"/>
                <w:sz w:val="20"/>
                <w:szCs w:val="20"/>
              </w:rPr>
              <w:t xml:space="preserve"> – nie dotyczy stosowania </w:t>
            </w:r>
            <w:proofErr w:type="spellStart"/>
            <w:r w:rsidR="007C5752" w:rsidRPr="00F75CF1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F75CF1">
              <w:rPr>
                <w:color w:val="000000"/>
                <w:sz w:val="20"/>
                <w:szCs w:val="20"/>
              </w:rPr>
              <w:t xml:space="preserve"> </w:t>
            </w:r>
            <w:r w:rsidR="007C5752" w:rsidRPr="00F75CF1">
              <w:rPr>
                <w:color w:val="000000"/>
                <w:sz w:val="20"/>
                <w:szCs w:val="20"/>
              </w:rPr>
              <w:lastRenderedPageBreak/>
              <w:t>w ramach leczenia uzupełniającego po radykalnym leczeniu chirurgicznym</w:t>
            </w:r>
            <w:r w:rsidR="00D1218F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7C4804A7" w14:textId="77777777" w:rsidR="008B709D" w:rsidRPr="00F75CF1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71E78369" w14:textId="77777777" w:rsidR="008B709D" w:rsidRPr="00F75CF1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28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F75CF1">
              <w:rPr>
                <w:color w:val="000000" w:themeColor="text1"/>
                <w:sz w:val="20"/>
                <w:szCs w:val="20"/>
              </w:rPr>
              <w:t>,</w:t>
            </w:r>
          </w:p>
          <w:p w14:paraId="59A94004" w14:textId="30F636F6" w:rsidR="008B709D" w:rsidRPr="00F75CF1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F75CF1">
              <w:rPr>
                <w:color w:val="000000" w:themeColor="text1"/>
                <w:sz w:val="20"/>
                <w:szCs w:val="20"/>
              </w:rPr>
              <w:t>3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F75CF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2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F75CF1">
              <w:rPr>
                <w:color w:val="000000"/>
                <w:sz w:val="20"/>
                <w:szCs w:val="20"/>
              </w:rPr>
              <w:t xml:space="preserve">(w przypadku </w:t>
            </w:r>
            <w:proofErr w:type="spellStart"/>
            <w:r w:rsidR="007C5752" w:rsidRPr="00F75CF1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F75CF1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miesięcy)</w:t>
            </w:r>
            <w:r w:rsidR="007C5752" w:rsidRPr="00F75C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6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F75CF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4D09B072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07C2DAD6" w14:textId="77777777" w:rsidR="00E640A9" w:rsidRPr="00872946" w:rsidRDefault="00915C5C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951F9EA" w14:textId="77777777" w:rsidR="00DA65B7" w:rsidRPr="00872946" w:rsidRDefault="0063308B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)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8ED6C5C" w14:textId="77777777" w:rsidR="004405D9" w:rsidRPr="00872946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0762E3E9" w14:textId="77777777" w:rsidR="009D203F" w:rsidRPr="000C3D3E" w:rsidRDefault="00CC2BF0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4868092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pembrolizumab,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66E9A" w:rsidRPr="000C3D3E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r w:rsidR="00D02EBC" w:rsidRPr="000C3D3E">
              <w:rPr>
                <w:b/>
                <w:bCs/>
                <w:color w:val="000000" w:themeColor="text1"/>
                <w:sz w:val="20"/>
                <w:szCs w:val="20"/>
              </w:rPr>
              <w:t>, cemiplimab w skojarzeniu z chemioterapią opartą na związkach platyny,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0C3D3E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0C3D3E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0C3D3E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0C3D3E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4"/>
          <w:p w14:paraId="77CE16FE" w14:textId="77777777" w:rsidR="0054669A" w:rsidRPr="00872946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3854F4B4" w14:textId="54040CB2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F75CF1">
              <w:rPr>
                <w:sz w:val="20"/>
                <w:szCs w:val="20"/>
              </w:rPr>
              <w:t>inhibitorów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ED3A42" w:rsidRPr="00F75CF1">
              <w:rPr>
                <w:sz w:val="20"/>
                <w:szCs w:val="20"/>
              </w:rPr>
              <w:t>immunologicznych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ED3A42" w:rsidRPr="00F75CF1">
              <w:rPr>
                <w:sz w:val="20"/>
                <w:szCs w:val="20"/>
              </w:rPr>
              <w:t>punktów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ED3A42" w:rsidRPr="00F75CF1">
              <w:rPr>
                <w:sz w:val="20"/>
                <w:szCs w:val="20"/>
              </w:rPr>
              <w:t>kontrolnych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584AF5" w:rsidRPr="00F75CF1">
              <w:rPr>
                <w:sz w:val="20"/>
                <w:szCs w:val="20"/>
              </w:rPr>
              <w:t>(</w:t>
            </w:r>
            <w:proofErr w:type="spellStart"/>
            <w:r w:rsidR="00584AF5" w:rsidRPr="00F75CF1">
              <w:rPr>
                <w:sz w:val="20"/>
                <w:szCs w:val="20"/>
              </w:rPr>
              <w:t>pembrolizumab</w:t>
            </w:r>
            <w:proofErr w:type="spellEnd"/>
            <w:r w:rsidR="00584AF5" w:rsidRPr="00F75CF1">
              <w:rPr>
                <w:sz w:val="20"/>
                <w:szCs w:val="20"/>
              </w:rPr>
              <w:t>,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F75CF1">
              <w:rPr>
                <w:sz w:val="20"/>
                <w:szCs w:val="20"/>
              </w:rPr>
              <w:t>niwolumab</w:t>
            </w:r>
            <w:proofErr w:type="spellEnd"/>
            <w:r w:rsidR="00584AF5" w:rsidRPr="00F75CF1">
              <w:rPr>
                <w:sz w:val="20"/>
                <w:szCs w:val="20"/>
              </w:rPr>
              <w:t>,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proofErr w:type="spellStart"/>
            <w:r w:rsidR="00182822" w:rsidRPr="00F75CF1">
              <w:rPr>
                <w:bCs/>
                <w:sz w:val="20"/>
                <w:szCs w:val="20"/>
              </w:rPr>
              <w:t>niwolumab</w:t>
            </w:r>
            <w:proofErr w:type="spellEnd"/>
            <w:r w:rsidR="00182822" w:rsidRPr="00F75CF1">
              <w:rPr>
                <w:bCs/>
                <w:sz w:val="20"/>
                <w:szCs w:val="20"/>
              </w:rPr>
              <w:t xml:space="preserve"> z </w:t>
            </w:r>
            <w:proofErr w:type="spellStart"/>
            <w:r w:rsidR="00182822" w:rsidRPr="00F75CF1">
              <w:rPr>
                <w:bCs/>
                <w:sz w:val="20"/>
                <w:szCs w:val="20"/>
              </w:rPr>
              <w:t>ipilimumabem</w:t>
            </w:r>
            <w:proofErr w:type="spellEnd"/>
            <w:r w:rsidR="00F13C15" w:rsidRPr="00F75CF1">
              <w:rPr>
                <w:bCs/>
                <w:sz w:val="20"/>
                <w:szCs w:val="20"/>
              </w:rPr>
              <w:t>,</w:t>
            </w:r>
            <w:r w:rsidR="00372E3E" w:rsidRPr="00F75CF1">
              <w:rPr>
                <w:bCs/>
                <w:sz w:val="20"/>
                <w:szCs w:val="20"/>
              </w:rPr>
              <w:t xml:space="preserve"> </w:t>
            </w:r>
            <w:r w:rsidR="00766E9A" w:rsidRPr="00F75CF1">
              <w:rPr>
                <w:bCs/>
                <w:sz w:val="20"/>
                <w:szCs w:val="20"/>
              </w:rPr>
              <w:t>cemiplimab</w:t>
            </w:r>
            <w:r w:rsidR="00766E9A" w:rsidRPr="00F75CF1">
              <w:rPr>
                <w:b/>
                <w:sz w:val="20"/>
                <w:szCs w:val="20"/>
              </w:rPr>
              <w:t>,</w:t>
            </w:r>
            <w:r w:rsidR="00372E3E" w:rsidRPr="00F75CF1">
              <w:rPr>
                <w:bCs/>
                <w:sz w:val="20"/>
                <w:szCs w:val="20"/>
              </w:rPr>
              <w:t xml:space="preserve"> </w:t>
            </w:r>
            <w:r w:rsidR="00584AF5" w:rsidRPr="00F75CF1">
              <w:rPr>
                <w:sz w:val="20"/>
                <w:szCs w:val="20"/>
              </w:rPr>
              <w:t>atezolizumab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)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F75CF1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E3C5C8E" w14:textId="77777777" w:rsidR="000602E8" w:rsidRPr="00872946" w:rsidRDefault="000602E8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lub do stwierdzenia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nawrotu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872946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872946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CB79225" w14:textId="77777777" w:rsidR="008D0564" w:rsidRPr="00872946" w:rsidRDefault="008D0564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skojarzeniu z chemioterapią w ramach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872946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>tsze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w przypadku stwierdzenia progresji choroby lub wystąpienia poważnych działań niepożądanych uniemożliwiających kontynuację leczenia;</w:t>
            </w:r>
          </w:p>
          <w:p w14:paraId="096E7820" w14:textId="77777777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E031F91" w14:textId="77777777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stosowanego w ramach uzupełniającego leczenia pooperacyjnego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F65DFD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stosowanego przedoperacyjnie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8DEE382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9CAA001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D6945E5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AAB1B82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414B48B5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0031129D" w14:textId="77777777" w:rsidR="009C41F9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PET</w:t>
            </w:r>
            <w:r w:rsidRPr="00872946">
              <w:rPr>
                <w:color w:val="000000" w:themeColor="text1"/>
                <w:sz w:val="20"/>
                <w:szCs w:val="20"/>
              </w:rPr>
              <w:t>)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A3AFC1" w14:textId="77777777" w:rsidR="004862D4" w:rsidRPr="00F75CF1" w:rsidRDefault="004619B3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przypadku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466EE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atezolizumabem</w:t>
            </w:r>
            <w:r w:rsidR="00C72CF0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drobnokomórkowym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dopuszcza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profilaktyczną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radioterapię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OUN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trakcie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872946">
              <w:rPr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fazie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F75CF1">
              <w:rPr>
                <w:sz w:val="20"/>
                <w:szCs w:val="20"/>
              </w:rPr>
              <w:t>podtrzymującego</w:t>
            </w:r>
            <w:r w:rsidR="00372E3E" w:rsidRPr="00F75CF1">
              <w:rPr>
                <w:sz w:val="20"/>
                <w:szCs w:val="20"/>
              </w:rPr>
              <w:t xml:space="preserve"> </w:t>
            </w:r>
            <w:r w:rsidR="00AE62CD" w:rsidRPr="00F75CF1">
              <w:rPr>
                <w:sz w:val="20"/>
                <w:szCs w:val="20"/>
              </w:rPr>
              <w:t>(</w:t>
            </w:r>
            <w:proofErr w:type="spellStart"/>
            <w:r w:rsidR="00AE62CD" w:rsidRPr="00F75CF1">
              <w:rPr>
                <w:sz w:val="20"/>
                <w:szCs w:val="20"/>
              </w:rPr>
              <w:t>monoterapia</w:t>
            </w:r>
            <w:proofErr w:type="spellEnd"/>
            <w:r w:rsidR="00AE62CD" w:rsidRPr="00F75CF1">
              <w:rPr>
                <w:sz w:val="20"/>
                <w:szCs w:val="20"/>
              </w:rPr>
              <w:t>)</w:t>
            </w:r>
            <w:r w:rsidR="00764863" w:rsidRPr="00F75CF1">
              <w:rPr>
                <w:sz w:val="20"/>
                <w:szCs w:val="20"/>
              </w:rPr>
              <w:t>;</w:t>
            </w:r>
          </w:p>
          <w:p w14:paraId="239A6B17" w14:textId="77777777" w:rsidR="00932263" w:rsidRPr="00F75CF1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760B0979" w14:textId="505E315E" w:rsidR="009C41F9" w:rsidRPr="00F75CF1" w:rsidRDefault="009C41F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1920"/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F75CF1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(d</w:t>
            </w:r>
            <w:r w:rsidR="00122901" w:rsidRPr="00F75CF1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, durwalumab w skojarzeniu z </w:t>
            </w:r>
            <w:proofErr w:type="spellStart"/>
            <w:r w:rsidR="00182822" w:rsidRPr="00F75CF1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F75CF1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5"/>
          <w:p w14:paraId="20776909" w14:textId="77777777" w:rsidR="006606D5" w:rsidRPr="00F75CF1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20053E56" w14:textId="77777777" w:rsidR="00135BA3" w:rsidRPr="00F75CF1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s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F75CF1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F75CF1">
              <w:rPr>
                <w:color w:val="000000" w:themeColor="text1"/>
                <w:sz w:val="20"/>
                <w:szCs w:val="20"/>
              </w:rPr>
              <w:t>1.</w:t>
            </w:r>
            <w:r w:rsidR="00124B3A" w:rsidRPr="00F75CF1">
              <w:rPr>
                <w:color w:val="000000" w:themeColor="text1"/>
                <w:sz w:val="20"/>
                <w:szCs w:val="20"/>
              </w:rPr>
              <w:t>1</w:t>
            </w:r>
            <w:r w:rsidR="00AD0171" w:rsidRPr="00F75CF1">
              <w:rPr>
                <w:color w:val="000000" w:themeColor="text1"/>
                <w:sz w:val="20"/>
                <w:szCs w:val="20"/>
              </w:rPr>
              <w:t>0</w:t>
            </w:r>
            <w:r w:rsidR="000D627E" w:rsidRPr="00F75CF1">
              <w:rPr>
                <w:color w:val="000000" w:themeColor="text1"/>
                <w:sz w:val="20"/>
                <w:szCs w:val="20"/>
              </w:rPr>
              <w:t>)</w:t>
            </w:r>
            <w:r w:rsidR="00372E3E" w:rsidRPr="00F75CF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12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F75CF1">
              <w:rPr>
                <w:sz w:val="20"/>
                <w:szCs w:val="20"/>
              </w:rPr>
              <w:t>ChPL;</w:t>
            </w:r>
          </w:p>
          <w:p w14:paraId="04352856" w14:textId="25028FB2" w:rsidR="00ED0234" w:rsidRPr="00F75CF1" w:rsidRDefault="00ED0234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stosowanie durwalumabu w leczeniu </w:t>
            </w:r>
            <w:r w:rsidR="00182822" w:rsidRPr="00F75CF1">
              <w:rPr>
                <w:color w:val="000000" w:themeColor="text1"/>
                <w:sz w:val="20"/>
                <w:szCs w:val="20"/>
              </w:rPr>
              <w:t>niedrobnokomórkowego raka płuca (pkt. 1.</w:t>
            </w:r>
            <w:r w:rsidR="008064FF" w:rsidRPr="00F75CF1">
              <w:rPr>
                <w:color w:val="000000" w:themeColor="text1"/>
                <w:sz w:val="20"/>
                <w:szCs w:val="20"/>
              </w:rPr>
              <w:t>8</w:t>
            </w:r>
            <w:r w:rsidR="00182822" w:rsidRPr="00F75CF1">
              <w:rPr>
                <w:color w:val="000000" w:themeColor="text1"/>
                <w:sz w:val="20"/>
                <w:szCs w:val="20"/>
              </w:rPr>
              <w:t xml:space="preserve">) oraz </w:t>
            </w:r>
            <w:r w:rsidRPr="00F75CF1">
              <w:rPr>
                <w:color w:val="000000" w:themeColor="text1"/>
                <w:sz w:val="20"/>
                <w:szCs w:val="20"/>
              </w:rPr>
              <w:t>drobnokomórkowego raka płuca (pkt 1.</w:t>
            </w:r>
            <w:r w:rsidR="00124B3A" w:rsidRPr="00F75CF1">
              <w:rPr>
                <w:color w:val="000000" w:themeColor="text1"/>
                <w:sz w:val="20"/>
                <w:szCs w:val="20"/>
              </w:rPr>
              <w:t>1</w:t>
            </w:r>
            <w:r w:rsidR="008064FF" w:rsidRPr="00F75CF1">
              <w:rPr>
                <w:color w:val="000000" w:themeColor="text1"/>
                <w:sz w:val="20"/>
                <w:szCs w:val="20"/>
              </w:rPr>
              <w:t>3</w:t>
            </w:r>
            <w:r w:rsidRPr="00F75CF1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06591C79" w14:textId="77777777" w:rsidR="004F4D27" w:rsidRPr="00F75CF1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F75CF1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23A60E66" w14:textId="77777777" w:rsidR="00ED0234" w:rsidRPr="00F75CF1" w:rsidRDefault="00ED0234" w:rsidP="00E50798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34831AA0" w14:textId="77777777" w:rsidR="004F4D27" w:rsidRPr="00F75CF1" w:rsidRDefault="004F4D27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6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F75CF1">
              <w:rPr>
                <w:color w:val="000000" w:themeColor="text1"/>
                <w:sz w:val="20"/>
                <w:szCs w:val="20"/>
              </w:rPr>
              <w:t>,</w:t>
            </w:r>
          </w:p>
          <w:p w14:paraId="24A12F1D" w14:textId="77777777" w:rsidR="000D2D32" w:rsidRPr="00F75CF1" w:rsidRDefault="000D2D32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3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48BAD1D2" w14:textId="77777777" w:rsidR="00182822" w:rsidRPr="00F75CF1" w:rsidRDefault="00182822" w:rsidP="00182822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 leczeniu niedrobnokomórkowego raka płuca:</w:t>
            </w:r>
          </w:p>
          <w:p w14:paraId="42105109" w14:textId="77777777" w:rsidR="00182822" w:rsidRPr="00F75CF1" w:rsidRDefault="00182822" w:rsidP="00182822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lastRenderedPageBreak/>
              <w:t xml:space="preserve">przed leczeniem – w okresie do 6 tygodni od zakończenia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>,</w:t>
            </w:r>
          </w:p>
          <w:p w14:paraId="6271CB9F" w14:textId="01129D95" w:rsidR="00182822" w:rsidRPr="00F75CF1" w:rsidRDefault="00182822" w:rsidP="00182822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 czasie leczenia – co 3 miesiące przez pierwsze 2 lata leczenia, a następnie co 6 miesięcy (dotyczy chorych z utrzymującymi się korzyściami klinicznymi);</w:t>
            </w:r>
          </w:p>
          <w:p w14:paraId="56992DD8" w14:textId="378773CA" w:rsidR="00ED0234" w:rsidRPr="00F75CF1" w:rsidRDefault="00ED0234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4D80AE28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5CA60394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trakcie monoterapii – przed pierwszym (1.) cyklem i następnie co 3 cykle leczenia;</w:t>
            </w:r>
          </w:p>
          <w:p w14:paraId="67E436CE" w14:textId="77777777" w:rsidR="004F4D27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39176835" w14:textId="77777777" w:rsidR="00C9090B" w:rsidRPr="00872946" w:rsidRDefault="004F4D27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2059E42" w14:textId="77777777" w:rsidR="004D13BF" w:rsidRPr="00872946" w:rsidRDefault="004D13BF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durwalumabem w drobnokomórkowym raku płuca dopuszcza się profilaktyczną radioterapię OUN w trakcie stosowania </w:t>
            </w:r>
            <w:r w:rsidR="004C5F26" w:rsidRPr="00872946">
              <w:rPr>
                <w:color w:val="000000" w:themeColor="text1"/>
                <w:sz w:val="20"/>
                <w:szCs w:val="20"/>
              </w:rPr>
              <w:t>durwalumabu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).</w:t>
            </w:r>
          </w:p>
          <w:p w14:paraId="3C951E1F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FB1646D" w14:textId="77777777" w:rsidR="0054669A" w:rsidRPr="00872946" w:rsidRDefault="000F5D97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21832083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6"/>
          <w:p w14:paraId="13668949" w14:textId="77777777" w:rsidR="00595EC0" w:rsidRPr="00872946" w:rsidRDefault="004619B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RECIST</w:t>
            </w:r>
          </w:p>
          <w:p w14:paraId="5FAD6745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872946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A5FB349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ol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chirurgia)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46DBC9A" w14:textId="602D503B" w:rsidR="00CE74E1" w:rsidRPr="00F75CF1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872946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872946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872946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872946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przed resekcją z zastosowaniem </w:t>
            </w:r>
            <w:proofErr w:type="spellStart"/>
            <w:r w:rsidR="008D056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872946">
              <w:t xml:space="preserve">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nie </w:t>
            </w:r>
            <w:r w:rsidR="00D243A7" w:rsidRPr="00F75CF1">
              <w:rPr>
                <w:color w:val="000000" w:themeColor="text1"/>
                <w:sz w:val="20"/>
                <w:szCs w:val="20"/>
              </w:rPr>
              <w:t xml:space="preserve">dotyczy chorych w ramach uzupełniającego leczenia pooperacyjnego z zastosowaniem </w:t>
            </w:r>
            <w:proofErr w:type="spellStart"/>
            <w:r w:rsidR="00D243A7" w:rsidRPr="00F75CF1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8064FF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44E5" w:rsidRPr="00F75CF1">
              <w:rPr>
                <w:color w:val="000000" w:themeColor="text1"/>
                <w:sz w:val="20"/>
                <w:szCs w:val="20"/>
              </w:rPr>
              <w:t xml:space="preserve">oraz chorych po radykalnym leczeniu chirurgicznym </w:t>
            </w:r>
            <w:proofErr w:type="spellStart"/>
            <w:r w:rsidR="00E444E5" w:rsidRPr="00F75CF1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C72CF0" w:rsidRPr="00F75CF1">
              <w:rPr>
                <w:color w:val="000000" w:themeColor="text1"/>
                <w:sz w:val="20"/>
                <w:szCs w:val="20"/>
              </w:rPr>
              <w:t>;</w:t>
            </w:r>
          </w:p>
          <w:p w14:paraId="60E94BEA" w14:textId="77777777" w:rsidR="008B709D" w:rsidRPr="00F75CF1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p</w:t>
            </w:r>
            <w:r w:rsidR="00767F56" w:rsidRPr="00F75CF1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F75CF1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F75CF1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F75CF1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F75CF1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71124664" w14:textId="77777777" w:rsidR="00C122EE" w:rsidRPr="00872946" w:rsidRDefault="00640206" w:rsidP="00E50798">
            <w:pPr>
              <w:pStyle w:val="Zwykytekst"/>
              <w:numPr>
                <w:ilvl w:val="3"/>
                <w:numId w:val="48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5236A3B" w14:textId="77777777" w:rsidR="00C122EE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ChPL;</w:t>
            </w:r>
          </w:p>
          <w:p w14:paraId="1AAF35AC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872946">
              <w:rPr>
                <w:color w:val="000000" w:themeColor="text1"/>
                <w:sz w:val="20"/>
                <w:szCs w:val="20"/>
              </w:rPr>
              <w:t>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4EAAD1F6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stop</w:t>
            </w:r>
            <w:r w:rsidR="008B709D" w:rsidRPr="002C4C78">
              <w:rPr>
                <w:color w:val="000000" w:themeColor="text1"/>
                <w:sz w:val="20"/>
                <w:szCs w:val="20"/>
              </w:rPr>
              <w:t>nia</w:t>
            </w:r>
            <w:r w:rsidR="00372E3E" w:rsidRPr="002C4C7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2C4C78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872946">
              <w:rPr>
                <w:color w:val="000000" w:themeColor="text1"/>
                <w:sz w:val="20"/>
                <w:szCs w:val="20"/>
              </w:rPr>
              <w:t>-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A45B957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R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FE3F275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56D940A7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79231D0" w14:textId="77777777" w:rsidR="00C9090B" w:rsidRPr="00F75CF1" w:rsidRDefault="0003367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F75CF1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F75CF1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F75CF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F75CF1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F75CF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F75CF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F75CF1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F75CF1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F75CF1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F75CF1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42DD0A06" w14:textId="5E2B5743" w:rsidR="00E444E5" w:rsidRPr="00F75CF1" w:rsidRDefault="00E444E5" w:rsidP="00E444E5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upłynięcie 24 miesięcznego okresu leczenia – dotyczy stosowania </w:t>
            </w:r>
            <w:proofErr w:type="spellStart"/>
            <w:r w:rsidRPr="00F75CF1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F75CF1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chirurgicznym.</w:t>
            </w:r>
          </w:p>
          <w:p w14:paraId="6E8DEF06" w14:textId="77777777" w:rsidR="000655DA" w:rsidRPr="00872946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561799B0" w14:textId="77777777" w:rsidR="00404AFA" w:rsidRPr="00872946" w:rsidRDefault="00404AFA" w:rsidP="0064020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626FCCFA" w14:textId="77777777" w:rsidR="00B2385C" w:rsidRPr="00872946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(ChPL).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76177D11" w14:textId="77777777" w:rsidR="006570B2" w:rsidRPr="00872946" w:rsidRDefault="001D7CB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872946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E25E4BE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międzybłoniaka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EC538B3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872946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(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F1CDF41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51AD8B3E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09C3A012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0E07E26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F5446B5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F294B7F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7E421462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7075D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4814FE38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86985AE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(EKG);</w:t>
            </w:r>
          </w:p>
          <w:p w14:paraId="333A4E29" w14:textId="53EF446E" w:rsidR="00F26110" w:rsidRPr="00872946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17" w:name="_Hlk168488292"/>
            <w:r w:rsidRPr="00872946">
              <w:rPr>
                <w:sz w:val="20"/>
                <w:szCs w:val="20"/>
              </w:rPr>
              <w:t>badanie pozytonowej tomografii emisyjnej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872946">
              <w:rPr>
                <w:sz w:val="20"/>
                <w:szCs w:val="20"/>
              </w:rPr>
              <w:t>niwolumabu</w:t>
            </w:r>
            <w:proofErr w:type="spellEnd"/>
            <w:r w:rsidR="00E8709B" w:rsidRPr="00872946">
              <w:rPr>
                <w:sz w:val="20"/>
                <w:szCs w:val="20"/>
              </w:rPr>
              <w:t>);</w:t>
            </w:r>
          </w:p>
          <w:p w14:paraId="5ED54E96" w14:textId="3D796C0E" w:rsidR="00F26110" w:rsidRPr="00F75CF1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badanie MR lub TK ośrodkowego układu nerwowego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</w:t>
            </w:r>
            <w:r w:rsidR="00E8709B" w:rsidRPr="00F75CF1">
              <w:rPr>
                <w:sz w:val="20"/>
                <w:szCs w:val="20"/>
              </w:rPr>
              <w:t xml:space="preserve">wstępnego z zastosowaniem </w:t>
            </w:r>
            <w:proofErr w:type="spellStart"/>
            <w:r w:rsidR="00E8709B" w:rsidRPr="00F75CF1">
              <w:rPr>
                <w:sz w:val="20"/>
                <w:szCs w:val="20"/>
              </w:rPr>
              <w:t>niwolumabu</w:t>
            </w:r>
            <w:proofErr w:type="spellEnd"/>
            <w:r w:rsidR="007C5752" w:rsidRPr="00F75CF1">
              <w:rPr>
                <w:sz w:val="20"/>
                <w:szCs w:val="20"/>
              </w:rPr>
              <w:t xml:space="preserve"> lub w przypadku leczenia uzupełniającego po radykalnym leczeniu chirurgicznym </w:t>
            </w:r>
            <w:proofErr w:type="spellStart"/>
            <w:r w:rsidR="007C5752" w:rsidRPr="00F75CF1">
              <w:rPr>
                <w:sz w:val="20"/>
                <w:szCs w:val="20"/>
              </w:rPr>
              <w:t>alektynibem</w:t>
            </w:r>
            <w:proofErr w:type="spellEnd"/>
            <w:r w:rsidR="00E8709B" w:rsidRPr="00F75CF1">
              <w:rPr>
                <w:sz w:val="20"/>
                <w:szCs w:val="20"/>
              </w:rPr>
              <w:t>);</w:t>
            </w:r>
          </w:p>
          <w:bookmarkEnd w:id="17"/>
          <w:p w14:paraId="3834CC93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  <w:r w:rsidR="00E133B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C98F573" w14:textId="77777777" w:rsidR="00C9090B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730D12A4" w14:textId="68DECA52" w:rsidR="00932263" w:rsidRPr="003973FE" w:rsidRDefault="003973FE" w:rsidP="003973FE">
            <w:pPr>
              <w:ind w:left="0" w:firstLine="0"/>
              <w:rPr>
                <w:sz w:val="20"/>
                <w:szCs w:val="20"/>
              </w:rPr>
            </w:pPr>
            <w:r w:rsidRPr="000C3D3E">
              <w:rPr>
                <w:sz w:val="20"/>
                <w:szCs w:val="20"/>
              </w:rPr>
              <w:t>Badania obrazowe z punktów</w:t>
            </w:r>
            <w:r w:rsidR="00961AB2" w:rsidRPr="000C3D3E">
              <w:rPr>
                <w:sz w:val="20"/>
                <w:szCs w:val="20"/>
              </w:rPr>
              <w:t xml:space="preserve"> nr </w:t>
            </w:r>
            <w:r w:rsidRPr="000C3D3E">
              <w:rPr>
                <w:sz w:val="20"/>
                <w:szCs w:val="20"/>
              </w:rPr>
              <w:t>12</w:t>
            </w:r>
            <w:r w:rsidR="00961AB2" w:rsidRPr="000C3D3E">
              <w:rPr>
                <w:sz w:val="20"/>
                <w:szCs w:val="20"/>
              </w:rPr>
              <w:t xml:space="preserve"> i</w:t>
            </w:r>
            <w:r w:rsidRPr="000C3D3E">
              <w:rPr>
                <w:sz w:val="20"/>
                <w:szCs w:val="20"/>
              </w:rPr>
              <w:t xml:space="preserve"> 13 – powinny być wykonane przed zakwalifikowaniem pacjenta do leczenia chirurgicznego.</w:t>
            </w:r>
          </w:p>
          <w:p w14:paraId="579123EC" w14:textId="77777777" w:rsidR="003973FE" w:rsidRPr="00872946" w:rsidRDefault="003973FE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61C08CC" w14:textId="77777777" w:rsidR="00B6275C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8" w:name="_Hlk121816794"/>
            <w:r w:rsidRPr="00872946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8"/>
          </w:p>
          <w:p w14:paraId="2C8A61D0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53D72B06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009A6372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DE5ACDC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F25405A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3228620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E8053C4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3C1A4D63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81797DE" w14:textId="77777777" w:rsidR="001B0059" w:rsidRPr="00872946" w:rsidRDefault="00955CE8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EKG;</w:t>
            </w:r>
          </w:p>
          <w:p w14:paraId="1C2A15BD" w14:textId="77777777" w:rsidR="00413179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590B154" w14:textId="77777777" w:rsidR="002A4D8D" w:rsidRPr="00872946" w:rsidRDefault="008A373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872946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AEFA9CC" w14:textId="77777777" w:rsidR="00C12FF7" w:rsidRPr="00872946" w:rsidRDefault="00C12FF7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powinien być wykonywany przed włączeniem do leczenia, po 4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0751DF7D" w14:textId="77777777" w:rsidR="00413179" w:rsidRPr="00872946" w:rsidRDefault="00FC01E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6AF772EF" w14:textId="77777777" w:rsidR="008D0564" w:rsidRPr="00872946" w:rsidRDefault="008D056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 z zastosowaniem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wymienione badania powinny być wykonane przed każdym podaniem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2012154" w14:textId="77777777" w:rsidR="00BB13BE" w:rsidRPr="00872946" w:rsidRDefault="00BB13BE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konsolidującego durwalumabem badania powinny być wykonywane w odstępach 4 tygodniowych przez pierwsze 3 miesiące leczenia, a następnie co 3 miesiące (wyjątek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70685992" w14:textId="223BB46E" w:rsidR="00A02F6D" w:rsidRPr="00F75CF1" w:rsidRDefault="00A02F6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pembrolizumabem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niwolumabem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skojarzeniu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ipilimumabem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dwoma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cyklami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F75CF1">
              <w:rPr>
                <w:sz w:val="20"/>
                <w:szCs w:val="20"/>
              </w:rPr>
              <w:t>chemioterapii</w:t>
            </w:r>
            <w:r w:rsidR="00D02EBC" w:rsidRPr="00F75CF1">
              <w:rPr>
                <w:sz w:val="20"/>
                <w:szCs w:val="20"/>
              </w:rPr>
              <w:t xml:space="preserve"> lub cemiplimabem w skojarzeniu z chemioterapia opartą na związkach platyny</w:t>
            </w:r>
            <w:r w:rsidR="001F5DED" w:rsidRPr="00F75CF1">
              <w:rPr>
                <w:sz w:val="20"/>
                <w:szCs w:val="20"/>
              </w:rPr>
              <w:t xml:space="preserve"> albo durwalumabem w skojarzeniu z </w:t>
            </w:r>
            <w:proofErr w:type="spellStart"/>
            <w:r w:rsidR="001F5DED" w:rsidRPr="00F75CF1">
              <w:rPr>
                <w:sz w:val="20"/>
                <w:szCs w:val="20"/>
              </w:rPr>
              <w:t>tremelimumabem</w:t>
            </w:r>
            <w:proofErr w:type="spellEnd"/>
            <w:r w:rsidR="001F5DED" w:rsidRPr="00F75CF1">
              <w:rPr>
                <w:sz w:val="20"/>
                <w:szCs w:val="20"/>
              </w:rPr>
              <w:t xml:space="preserve"> i chemioterapią:</w:t>
            </w:r>
          </w:p>
          <w:p w14:paraId="6E412FDF" w14:textId="77777777" w:rsidR="00A02F6D" w:rsidRPr="00F75CF1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1-</w:t>
            </w:r>
            <w:r w:rsidR="005467F4" w:rsidRPr="00F75CF1">
              <w:rPr>
                <w:color w:val="000000" w:themeColor="text1"/>
                <w:sz w:val="20"/>
                <w:szCs w:val="20"/>
              </w:rPr>
              <w:t>7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(w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F75CF1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F75CF1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F75CF1">
              <w:rPr>
                <w:color w:val="000000" w:themeColor="text1"/>
                <w:sz w:val="20"/>
                <w:szCs w:val="20"/>
              </w:rPr>
              <w:t>,</w:t>
            </w:r>
          </w:p>
          <w:p w14:paraId="55D66556" w14:textId="28A2F8EB" w:rsidR="00A02F6D" w:rsidRPr="00F75CF1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5CF1">
              <w:rPr>
                <w:color w:val="000000" w:themeColor="text1"/>
                <w:sz w:val="20"/>
                <w:szCs w:val="20"/>
              </w:rPr>
              <w:t>1-</w:t>
            </w:r>
            <w:r w:rsidR="005467F4" w:rsidRPr="00F75CF1">
              <w:rPr>
                <w:color w:val="000000" w:themeColor="text1"/>
                <w:sz w:val="20"/>
                <w:szCs w:val="20"/>
              </w:rPr>
              <w:t>7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w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F75CF1">
              <w:rPr>
                <w:color w:val="000000" w:themeColor="text1"/>
                <w:sz w:val="20"/>
                <w:szCs w:val="20"/>
              </w:rPr>
              <w:t>t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F75CF1">
              <w:rPr>
                <w:color w:val="000000" w:themeColor="text1"/>
                <w:sz w:val="20"/>
                <w:szCs w:val="20"/>
              </w:rPr>
              <w:t>pembrolizumabem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5DED" w:rsidRPr="00F75CF1">
              <w:rPr>
                <w:color w:val="000000" w:themeColor="text1"/>
                <w:sz w:val="20"/>
                <w:szCs w:val="20"/>
              </w:rPr>
              <w:t xml:space="preserve">lub durwalumabem </w:t>
            </w:r>
            <w:r w:rsidR="00763267" w:rsidRPr="00F75CF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F75CF1">
              <w:rPr>
                <w:color w:val="000000" w:themeColor="text1"/>
                <w:sz w:val="20"/>
                <w:szCs w:val="20"/>
              </w:rPr>
              <w:t>3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F75CF1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1CFA80AA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skojarzonego atezolizumabem z chemioterapią albo durwalumabem z chemioterapią w drobnokomórkowym raku płuca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5126CD3A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fazie leczenia podtrzymującego drobnokomórkowego raka płuca atezolizumabem albo durwalumabem – badania z pkt 1-8 co 4-8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89C113F" w14:textId="77777777" w:rsidR="002A4D8D" w:rsidRPr="00872946" w:rsidRDefault="002E629D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odni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64E7C4B" w14:textId="77777777" w:rsidR="00C9090B" w:rsidRPr="00872946" w:rsidRDefault="00600F03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bada</w:t>
            </w:r>
            <w:r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diagnostyczn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kliniczn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C03445B" w14:textId="77777777" w:rsidR="004966B8" w:rsidRPr="00872946" w:rsidRDefault="004966B8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monitorowaniu bezpieczeństwa leczenia należy uwzględnić inne parametry laboratoryjne zgodnie z </w:t>
            </w: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Charakterystyką Produktu Leczniczego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,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64621B51" w14:textId="77777777" w:rsidR="001D7998" w:rsidRPr="00872946" w:rsidRDefault="001D7998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2BEDE79" w14:textId="77777777" w:rsidR="00655372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9" w:name="_Hlk52951758"/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87294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9"/>
          <w:p w14:paraId="0F699EF4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6203A5B2" w14:textId="77777777" w:rsidR="00345CF3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40F87A33" w14:textId="77777777" w:rsidR="008B0240" w:rsidRDefault="00EE4BB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774DCE2" w14:textId="72B929D9" w:rsidR="00BC6F09" w:rsidRPr="00872946" w:rsidRDefault="00BC6F09" w:rsidP="00BC6F09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 xml:space="preserve">W przypadku uzupełniającego leczenia pooperacyjnego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0C3D3E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0C3D3E">
              <w:rPr>
                <w:color w:val="000000" w:themeColor="text1"/>
                <w:sz w:val="20"/>
                <w:szCs w:val="20"/>
              </w:rPr>
              <w:t xml:space="preserve"> ocenę stopnia zaawansowania nowotworu przeprowadza się co 6 miesięcy lub w przypadku wystąpienia wskazań klinicznych.</w:t>
            </w:r>
          </w:p>
          <w:p w14:paraId="794A8238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atezolizumabem albo durwalumabem w drobnokomórkowym raku płuca – co 2 cykle w trakcie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>a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24F84FB8" w14:textId="77777777" w:rsidR="007C5752" w:rsidRPr="00F75CF1" w:rsidRDefault="00397CFB" w:rsidP="007C575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F75CF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z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F75CF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F75CF1">
              <w:rPr>
                <w:color w:val="000000" w:themeColor="text1"/>
                <w:sz w:val="20"/>
                <w:szCs w:val="20"/>
              </w:rPr>
              <w:t>klinicznymi)</w:t>
            </w:r>
            <w:r w:rsidRPr="00F75CF1">
              <w:rPr>
                <w:color w:val="000000" w:themeColor="text1"/>
                <w:sz w:val="20"/>
                <w:szCs w:val="20"/>
              </w:rPr>
              <w:t>.</w:t>
            </w:r>
          </w:p>
          <w:p w14:paraId="5DBF9F60" w14:textId="6220F232" w:rsidR="007C5752" w:rsidRPr="00F75CF1" w:rsidRDefault="007C5752" w:rsidP="007C575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/>
                <w:sz w:val="20"/>
                <w:szCs w:val="20"/>
              </w:rPr>
              <w:lastRenderedPageBreak/>
              <w:t xml:space="preserve">W przypadku </w:t>
            </w:r>
            <w:proofErr w:type="spellStart"/>
            <w:r w:rsidRPr="00F75CF1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Pr="00F75CF1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 (dotyczy chorych z utrzymującymi się korzyściami klinicznymi). </w:t>
            </w:r>
          </w:p>
          <w:p w14:paraId="3BB3047A" w14:textId="77777777" w:rsidR="007C5752" w:rsidRPr="00F75CF1" w:rsidRDefault="007C5752" w:rsidP="007C5752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2434BC10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F75CF1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F75CF1">
              <w:rPr>
                <w:color w:val="000000" w:themeColor="text1"/>
                <w:sz w:val="20"/>
                <w:szCs w:val="20"/>
              </w:rPr>
              <w:t>(odnosi się do stosowania leczenia w stadium  zaawansowanym</w:t>
            </w:r>
            <w:r w:rsidR="00DA1036" w:rsidRPr="00872946">
              <w:rPr>
                <w:color w:val="000000" w:themeColor="text1"/>
                <w:sz w:val="20"/>
                <w:szCs w:val="20"/>
              </w:rPr>
              <w:t xml:space="preserve">) </w:t>
            </w:r>
            <w:r w:rsidRPr="00872946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161F8968" w14:textId="77777777" w:rsidR="007F7252" w:rsidRPr="00872946" w:rsidRDefault="001830F5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Na podstawie ww. badań </w:t>
            </w:r>
            <w:r w:rsidR="007F7252" w:rsidRPr="00872946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52E71B38" w14:textId="77777777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070C1547" w14:textId="77777777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759907C7" w14:textId="77777777" w:rsidR="001D7998" w:rsidRPr="00872946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0ACC45F9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59A50B7E" w14:textId="77777777" w:rsidR="00914853" w:rsidRPr="00872946" w:rsidRDefault="0072633C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2BB6B6CB" w14:textId="77777777" w:rsidR="009247B1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g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1B8F514E" w14:textId="77777777" w:rsidR="009247B1" w:rsidRPr="00872946" w:rsidRDefault="007F7252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uzupełnianie danych zawartych w elektronicznym systemie monitorowania programów lekowych, w tym również parametrów dotyczących skuteczności leczenia (całkowita (CR) lub częściowa odpowiedz (PR), </w:t>
            </w:r>
            <w:r w:rsidRPr="00872946">
              <w:rPr>
                <w:sz w:val="20"/>
                <w:szCs w:val="20"/>
              </w:rPr>
              <w:lastRenderedPageBreak/>
              <w:t>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642EE2B8" w14:textId="77777777" w:rsidR="0072633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(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FZ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75BC8E53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4DE8B020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72BF7" w14:textId="77777777" w:rsidR="00EF77E1" w:rsidRDefault="00EF77E1" w:rsidP="00EA21BD">
      <w:r>
        <w:separator/>
      </w:r>
    </w:p>
  </w:endnote>
  <w:endnote w:type="continuationSeparator" w:id="0">
    <w:p w14:paraId="7550DAA4" w14:textId="77777777" w:rsidR="00EF77E1" w:rsidRDefault="00EF77E1" w:rsidP="00EA21BD">
      <w:r>
        <w:continuationSeparator/>
      </w:r>
    </w:p>
  </w:endnote>
  <w:endnote w:type="continuationNotice" w:id="1">
    <w:p w14:paraId="002A0EBC" w14:textId="77777777" w:rsidR="00EF77E1" w:rsidRDefault="00EF7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33AE" w14:textId="77777777" w:rsidR="002243F3" w:rsidRPr="00F02EF3" w:rsidRDefault="002243F3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EFA3A" w14:textId="77777777" w:rsidR="00EF77E1" w:rsidRDefault="00EF77E1" w:rsidP="00EA21BD">
      <w:r>
        <w:separator/>
      </w:r>
    </w:p>
  </w:footnote>
  <w:footnote w:type="continuationSeparator" w:id="0">
    <w:p w14:paraId="1C4A2749" w14:textId="77777777" w:rsidR="00EF77E1" w:rsidRDefault="00EF77E1" w:rsidP="00EA21BD">
      <w:r>
        <w:continuationSeparator/>
      </w:r>
    </w:p>
  </w:footnote>
  <w:footnote w:type="continuationNotice" w:id="1">
    <w:p w14:paraId="03BC95C7" w14:textId="77777777" w:rsidR="00EF77E1" w:rsidRDefault="00EF77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4F77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AD8252C"/>
    <w:multiLevelType w:val="multilevel"/>
    <w:tmpl w:val="AA668D2E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227" w:hanging="227"/>
      </w:pPr>
      <w:rPr>
        <w:b/>
      </w:rPr>
    </w:lvl>
    <w:lvl w:ilvl="2">
      <w:start w:val="1"/>
      <w:numFmt w:val="decimal"/>
      <w:lvlText w:val="%1.%2.%3."/>
      <w:lvlJc w:val="left"/>
      <w:pPr>
        <w:ind w:left="227" w:hanging="227"/>
      </w:pPr>
      <w:rPr>
        <w:b/>
        <w:i w:val="0"/>
      </w:rPr>
    </w:lvl>
    <w:lvl w:ilvl="3">
      <w:start w:val="1"/>
      <w:numFmt w:val="decimal"/>
      <w:lvlText w:val="%4)"/>
      <w:lvlJc w:val="left"/>
      <w:pPr>
        <w:ind w:left="454" w:hanging="227"/>
      </w:pPr>
      <w:rPr>
        <w:b w:val="0"/>
        <w:strike w:val="0"/>
      </w:rPr>
    </w:lvl>
    <w:lvl w:ilvl="4">
      <w:start w:val="1"/>
      <w:numFmt w:val="lowerLetter"/>
      <w:lvlText w:val="%5)"/>
      <w:lvlJc w:val="left"/>
      <w:pPr>
        <w:ind w:left="680" w:hanging="226"/>
      </w:pPr>
    </w:lvl>
    <w:lvl w:ilvl="5">
      <w:start w:val="1"/>
      <w:numFmt w:val="bullet"/>
      <w:lvlText w:val="−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−.%7.%8."/>
      <w:lvlJc w:val="left"/>
      <w:pPr>
        <w:ind w:left="3950" w:hanging="1224"/>
      </w:pPr>
    </w:lvl>
    <w:lvl w:ilvl="8">
      <w:start w:val="1"/>
      <w:numFmt w:val="decimal"/>
      <w:lvlText w:val="%1.%2.%3.%4.%5.−.%7.%8.%9."/>
      <w:lvlJc w:val="left"/>
      <w:pPr>
        <w:ind w:left="4526" w:hanging="1440"/>
      </w:pPr>
    </w:lvl>
  </w:abstractNum>
  <w:abstractNum w:abstractNumId="2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EC13CAC"/>
    <w:multiLevelType w:val="multilevel"/>
    <w:tmpl w:val="C160F184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331EE5"/>
    <w:multiLevelType w:val="hybridMultilevel"/>
    <w:tmpl w:val="D3CE3284"/>
    <w:lvl w:ilvl="0" w:tplc="0AC81480">
      <w:start w:val="1"/>
      <w:numFmt w:val="decimal"/>
      <w:lvlText w:val="%1.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77F6CC9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54F4"/>
    <w:multiLevelType w:val="hybridMultilevel"/>
    <w:tmpl w:val="93A80C4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54A1F08"/>
    <w:multiLevelType w:val="hybridMultilevel"/>
    <w:tmpl w:val="0C543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A0E36"/>
    <w:multiLevelType w:val="multilevel"/>
    <w:tmpl w:val="5CCEE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9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0617803"/>
    <w:multiLevelType w:val="multilevel"/>
    <w:tmpl w:val="41802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7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3567576">
    <w:abstractNumId w:val="5"/>
  </w:num>
  <w:num w:numId="2" w16cid:durableId="914705325">
    <w:abstractNumId w:val="13"/>
  </w:num>
  <w:num w:numId="3" w16cid:durableId="1233393961">
    <w:abstractNumId w:val="21"/>
  </w:num>
  <w:num w:numId="4" w16cid:durableId="1592009990">
    <w:abstractNumId w:val="12"/>
  </w:num>
  <w:num w:numId="5" w16cid:durableId="1749572654">
    <w:abstractNumId w:val="30"/>
  </w:num>
  <w:num w:numId="6" w16cid:durableId="987830107">
    <w:abstractNumId w:val="25"/>
  </w:num>
  <w:num w:numId="7" w16cid:durableId="1555265300">
    <w:abstractNumId w:val="47"/>
  </w:num>
  <w:num w:numId="8" w16cid:durableId="133328887">
    <w:abstractNumId w:val="48"/>
  </w:num>
  <w:num w:numId="9" w16cid:durableId="1980912796">
    <w:abstractNumId w:val="16"/>
  </w:num>
  <w:num w:numId="10" w16cid:durableId="901911010">
    <w:abstractNumId w:val="18"/>
  </w:num>
  <w:num w:numId="11" w16cid:durableId="1731296618">
    <w:abstractNumId w:val="9"/>
  </w:num>
  <w:num w:numId="12" w16cid:durableId="650403574">
    <w:abstractNumId w:val="33"/>
  </w:num>
  <w:num w:numId="13" w16cid:durableId="1043286359">
    <w:abstractNumId w:val="45"/>
  </w:num>
  <w:num w:numId="14" w16cid:durableId="477888968">
    <w:abstractNumId w:val="40"/>
  </w:num>
  <w:num w:numId="15" w16cid:durableId="781998628">
    <w:abstractNumId w:val="36"/>
  </w:num>
  <w:num w:numId="16" w16cid:durableId="507453554">
    <w:abstractNumId w:val="42"/>
  </w:num>
  <w:num w:numId="17" w16cid:durableId="1160459468">
    <w:abstractNumId w:val="34"/>
  </w:num>
  <w:num w:numId="18" w16cid:durableId="2137721078">
    <w:abstractNumId w:val="49"/>
  </w:num>
  <w:num w:numId="19" w16cid:durableId="881360835">
    <w:abstractNumId w:val="31"/>
  </w:num>
  <w:num w:numId="20" w16cid:durableId="1188058914">
    <w:abstractNumId w:val="32"/>
  </w:num>
  <w:num w:numId="21" w16cid:durableId="579023848">
    <w:abstractNumId w:val="39"/>
  </w:num>
  <w:num w:numId="22" w16cid:durableId="1884638063">
    <w:abstractNumId w:val="37"/>
  </w:num>
  <w:num w:numId="23" w16cid:durableId="856770996">
    <w:abstractNumId w:val="19"/>
  </w:num>
  <w:num w:numId="24" w16cid:durableId="1306274589">
    <w:abstractNumId w:val="8"/>
  </w:num>
  <w:num w:numId="25" w16cid:durableId="1624535249">
    <w:abstractNumId w:val="27"/>
  </w:num>
  <w:num w:numId="26" w16cid:durableId="1864778199">
    <w:abstractNumId w:val="46"/>
  </w:num>
  <w:num w:numId="27" w16cid:durableId="475417192">
    <w:abstractNumId w:val="17"/>
  </w:num>
  <w:num w:numId="28" w16cid:durableId="1241256710">
    <w:abstractNumId w:val="43"/>
  </w:num>
  <w:num w:numId="29" w16cid:durableId="1548370241">
    <w:abstractNumId w:val="15"/>
  </w:num>
  <w:num w:numId="30" w16cid:durableId="892691985">
    <w:abstractNumId w:val="0"/>
  </w:num>
  <w:num w:numId="31" w16cid:durableId="475954134">
    <w:abstractNumId w:val="3"/>
  </w:num>
  <w:num w:numId="32" w16cid:durableId="883561210">
    <w:abstractNumId w:val="22"/>
  </w:num>
  <w:num w:numId="33" w16cid:durableId="1794210971">
    <w:abstractNumId w:val="4"/>
  </w:num>
  <w:num w:numId="34" w16cid:durableId="475877175">
    <w:abstractNumId w:val="23"/>
  </w:num>
  <w:num w:numId="35" w16cid:durableId="517044209">
    <w:abstractNumId w:val="35"/>
  </w:num>
  <w:num w:numId="36" w16cid:durableId="1211921742">
    <w:abstractNumId w:val="44"/>
  </w:num>
  <w:num w:numId="37" w16cid:durableId="738477867">
    <w:abstractNumId w:val="41"/>
  </w:num>
  <w:num w:numId="38" w16cid:durableId="468014807">
    <w:abstractNumId w:val="2"/>
  </w:num>
  <w:num w:numId="39" w16cid:durableId="811218067">
    <w:abstractNumId w:val="20"/>
  </w:num>
  <w:num w:numId="40" w16cid:durableId="77601959">
    <w:abstractNumId w:val="14"/>
  </w:num>
  <w:num w:numId="41" w16cid:durableId="1514104213">
    <w:abstractNumId w:val="28"/>
  </w:num>
  <w:num w:numId="42" w16cid:durableId="1027102163">
    <w:abstractNumId w:val="38"/>
  </w:num>
  <w:num w:numId="43" w16cid:durableId="286743555">
    <w:abstractNumId w:val="11"/>
  </w:num>
  <w:num w:numId="44" w16cid:durableId="1352146796">
    <w:abstractNumId w:val="7"/>
  </w:num>
  <w:num w:numId="45" w16cid:durableId="1499228001">
    <w:abstractNumId w:val="26"/>
  </w:num>
  <w:num w:numId="46" w16cid:durableId="1101339640">
    <w:abstractNumId w:val="24"/>
  </w:num>
  <w:num w:numId="47" w16cid:durableId="1930774860">
    <w:abstractNumId w:val="29"/>
  </w:num>
  <w:num w:numId="48" w16cid:durableId="1640497225">
    <w:abstractNumId w:val="10"/>
  </w:num>
  <w:num w:numId="49" w16cid:durableId="1553418403">
    <w:abstractNumId w:val="6"/>
  </w:num>
  <w:num w:numId="50" w16cid:durableId="192880421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207A"/>
    <w:rsid w:val="00054515"/>
    <w:rsid w:val="000547A1"/>
    <w:rsid w:val="000548F2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77E7E"/>
    <w:rsid w:val="00080162"/>
    <w:rsid w:val="00081317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222"/>
    <w:rsid w:val="000A3985"/>
    <w:rsid w:val="000A3EA2"/>
    <w:rsid w:val="000A4155"/>
    <w:rsid w:val="000A5549"/>
    <w:rsid w:val="000A5CB6"/>
    <w:rsid w:val="000A765E"/>
    <w:rsid w:val="000B16FD"/>
    <w:rsid w:val="000B3751"/>
    <w:rsid w:val="000B43CD"/>
    <w:rsid w:val="000C12FD"/>
    <w:rsid w:val="000C16FC"/>
    <w:rsid w:val="000C1AB9"/>
    <w:rsid w:val="000C3670"/>
    <w:rsid w:val="000C3D3E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D65FB"/>
    <w:rsid w:val="000E0FCC"/>
    <w:rsid w:val="000E25C8"/>
    <w:rsid w:val="000E2ABD"/>
    <w:rsid w:val="000E34D6"/>
    <w:rsid w:val="000E3EDF"/>
    <w:rsid w:val="000E4A2F"/>
    <w:rsid w:val="000E6363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5BD3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35BA3"/>
    <w:rsid w:val="00136191"/>
    <w:rsid w:val="00136567"/>
    <w:rsid w:val="00137096"/>
    <w:rsid w:val="001370BB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32E"/>
    <w:rsid w:val="00157AFB"/>
    <w:rsid w:val="001603AC"/>
    <w:rsid w:val="001653F2"/>
    <w:rsid w:val="00166DAF"/>
    <w:rsid w:val="00173362"/>
    <w:rsid w:val="0017348B"/>
    <w:rsid w:val="001749B7"/>
    <w:rsid w:val="00177B1B"/>
    <w:rsid w:val="00182822"/>
    <w:rsid w:val="00182C28"/>
    <w:rsid w:val="001830F5"/>
    <w:rsid w:val="001837F3"/>
    <w:rsid w:val="00185F37"/>
    <w:rsid w:val="00186CCE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4B63"/>
    <w:rsid w:val="001C0A4D"/>
    <w:rsid w:val="001C2457"/>
    <w:rsid w:val="001C2EB7"/>
    <w:rsid w:val="001C34EF"/>
    <w:rsid w:val="001C54AE"/>
    <w:rsid w:val="001C77B1"/>
    <w:rsid w:val="001D2BC2"/>
    <w:rsid w:val="001D2F51"/>
    <w:rsid w:val="001D35C7"/>
    <w:rsid w:val="001D4367"/>
    <w:rsid w:val="001D4F04"/>
    <w:rsid w:val="001D507D"/>
    <w:rsid w:val="001D5367"/>
    <w:rsid w:val="001D650E"/>
    <w:rsid w:val="001D73E9"/>
    <w:rsid w:val="001D7998"/>
    <w:rsid w:val="001D7CB9"/>
    <w:rsid w:val="001E5DBE"/>
    <w:rsid w:val="001E676A"/>
    <w:rsid w:val="001F1C8E"/>
    <w:rsid w:val="001F356C"/>
    <w:rsid w:val="001F3616"/>
    <w:rsid w:val="001F5DED"/>
    <w:rsid w:val="00200DBF"/>
    <w:rsid w:val="00201EA4"/>
    <w:rsid w:val="002030AC"/>
    <w:rsid w:val="00205407"/>
    <w:rsid w:val="0020596B"/>
    <w:rsid w:val="00205E44"/>
    <w:rsid w:val="002108CF"/>
    <w:rsid w:val="00210B0D"/>
    <w:rsid w:val="00211635"/>
    <w:rsid w:val="0021474E"/>
    <w:rsid w:val="0021509B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1F95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57956"/>
    <w:rsid w:val="00257DA1"/>
    <w:rsid w:val="00260424"/>
    <w:rsid w:val="00260CD4"/>
    <w:rsid w:val="002611E4"/>
    <w:rsid w:val="002617E0"/>
    <w:rsid w:val="00262112"/>
    <w:rsid w:val="002622F5"/>
    <w:rsid w:val="00267941"/>
    <w:rsid w:val="00272D59"/>
    <w:rsid w:val="00273DC2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685A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4C78"/>
    <w:rsid w:val="002C5BBA"/>
    <w:rsid w:val="002C628C"/>
    <w:rsid w:val="002C6880"/>
    <w:rsid w:val="002D06EB"/>
    <w:rsid w:val="002D07A0"/>
    <w:rsid w:val="002D0814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332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3B23"/>
    <w:rsid w:val="00385F78"/>
    <w:rsid w:val="00386341"/>
    <w:rsid w:val="0038781F"/>
    <w:rsid w:val="00390728"/>
    <w:rsid w:val="00391666"/>
    <w:rsid w:val="00391917"/>
    <w:rsid w:val="00393D84"/>
    <w:rsid w:val="003957D0"/>
    <w:rsid w:val="003963ED"/>
    <w:rsid w:val="003973FE"/>
    <w:rsid w:val="00397CFB"/>
    <w:rsid w:val="003A0A12"/>
    <w:rsid w:val="003A51F8"/>
    <w:rsid w:val="003B0CF1"/>
    <w:rsid w:val="003B35CC"/>
    <w:rsid w:val="003B3D60"/>
    <w:rsid w:val="003B3D6A"/>
    <w:rsid w:val="003B3F7B"/>
    <w:rsid w:val="003B3FD9"/>
    <w:rsid w:val="003B4101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D1C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0D55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5956"/>
    <w:rsid w:val="004862D4"/>
    <w:rsid w:val="004905DB"/>
    <w:rsid w:val="004907E4"/>
    <w:rsid w:val="004919B3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732"/>
    <w:rsid w:val="004B4BA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51AB"/>
    <w:rsid w:val="004D5713"/>
    <w:rsid w:val="004E06FD"/>
    <w:rsid w:val="004E0CC6"/>
    <w:rsid w:val="004E150C"/>
    <w:rsid w:val="004E1805"/>
    <w:rsid w:val="004E5E00"/>
    <w:rsid w:val="004F0F37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2F36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4F6"/>
    <w:rsid w:val="00586B8F"/>
    <w:rsid w:val="00591EA4"/>
    <w:rsid w:val="005925D4"/>
    <w:rsid w:val="00593677"/>
    <w:rsid w:val="00595EC0"/>
    <w:rsid w:val="005A17F8"/>
    <w:rsid w:val="005A385F"/>
    <w:rsid w:val="005A3E8F"/>
    <w:rsid w:val="005A5703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5BF3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15FE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02BA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1399"/>
    <w:rsid w:val="007722E0"/>
    <w:rsid w:val="00772B47"/>
    <w:rsid w:val="007735CE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36AE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6133"/>
    <w:rsid w:val="007C2408"/>
    <w:rsid w:val="007C2F7F"/>
    <w:rsid w:val="007C31EC"/>
    <w:rsid w:val="007C5752"/>
    <w:rsid w:val="007D188D"/>
    <w:rsid w:val="007D19AB"/>
    <w:rsid w:val="007D2C73"/>
    <w:rsid w:val="007D5BBC"/>
    <w:rsid w:val="007D5F39"/>
    <w:rsid w:val="007D61E0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64FF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1265"/>
    <w:rsid w:val="009129E6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08EF"/>
    <w:rsid w:val="009310E5"/>
    <w:rsid w:val="00931AB5"/>
    <w:rsid w:val="00932263"/>
    <w:rsid w:val="00932E18"/>
    <w:rsid w:val="00933285"/>
    <w:rsid w:val="00937694"/>
    <w:rsid w:val="009429D3"/>
    <w:rsid w:val="0094342C"/>
    <w:rsid w:val="00944A71"/>
    <w:rsid w:val="00946650"/>
    <w:rsid w:val="009530A8"/>
    <w:rsid w:val="00953650"/>
    <w:rsid w:val="00955CE8"/>
    <w:rsid w:val="00956638"/>
    <w:rsid w:val="009603E3"/>
    <w:rsid w:val="00961AB2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2C0D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3AC2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6DB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732A"/>
    <w:rsid w:val="00A77E8F"/>
    <w:rsid w:val="00A82555"/>
    <w:rsid w:val="00A8285C"/>
    <w:rsid w:val="00A854F0"/>
    <w:rsid w:val="00A857E5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070A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686C"/>
    <w:rsid w:val="00B27F16"/>
    <w:rsid w:val="00B30731"/>
    <w:rsid w:val="00B3136B"/>
    <w:rsid w:val="00B31CF0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675B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AF3"/>
    <w:rsid w:val="00BA5F15"/>
    <w:rsid w:val="00BA6754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2A0"/>
    <w:rsid w:val="00BC6455"/>
    <w:rsid w:val="00BC6F09"/>
    <w:rsid w:val="00BC7849"/>
    <w:rsid w:val="00BD20D5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6E69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3C31"/>
    <w:rsid w:val="00C34DD5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C2F3D"/>
    <w:rsid w:val="00CC68C3"/>
    <w:rsid w:val="00CD3BD1"/>
    <w:rsid w:val="00CD44FB"/>
    <w:rsid w:val="00CD51AB"/>
    <w:rsid w:val="00CD5AAB"/>
    <w:rsid w:val="00CD69EE"/>
    <w:rsid w:val="00CD719F"/>
    <w:rsid w:val="00CE153E"/>
    <w:rsid w:val="00CE1B90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2EBC"/>
    <w:rsid w:val="00D03166"/>
    <w:rsid w:val="00D03A23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3DB0"/>
    <w:rsid w:val="00D94B37"/>
    <w:rsid w:val="00D9546A"/>
    <w:rsid w:val="00D958DE"/>
    <w:rsid w:val="00D96260"/>
    <w:rsid w:val="00D96E7D"/>
    <w:rsid w:val="00D972E0"/>
    <w:rsid w:val="00DA0C9D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B7968"/>
    <w:rsid w:val="00DC09A2"/>
    <w:rsid w:val="00DC1B6B"/>
    <w:rsid w:val="00DC6735"/>
    <w:rsid w:val="00DD0AA6"/>
    <w:rsid w:val="00DD2346"/>
    <w:rsid w:val="00DD4656"/>
    <w:rsid w:val="00DD7184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6ECB"/>
    <w:rsid w:val="00E00AA1"/>
    <w:rsid w:val="00E01ABE"/>
    <w:rsid w:val="00E03622"/>
    <w:rsid w:val="00E0389F"/>
    <w:rsid w:val="00E044A1"/>
    <w:rsid w:val="00E130EA"/>
    <w:rsid w:val="00E133B0"/>
    <w:rsid w:val="00E14F3D"/>
    <w:rsid w:val="00E20976"/>
    <w:rsid w:val="00E21E09"/>
    <w:rsid w:val="00E24212"/>
    <w:rsid w:val="00E24449"/>
    <w:rsid w:val="00E24E80"/>
    <w:rsid w:val="00E257BE"/>
    <w:rsid w:val="00E259B1"/>
    <w:rsid w:val="00E2725D"/>
    <w:rsid w:val="00E3054F"/>
    <w:rsid w:val="00E3113B"/>
    <w:rsid w:val="00E31781"/>
    <w:rsid w:val="00E317DA"/>
    <w:rsid w:val="00E31DC9"/>
    <w:rsid w:val="00E33896"/>
    <w:rsid w:val="00E3391F"/>
    <w:rsid w:val="00E401DE"/>
    <w:rsid w:val="00E444E5"/>
    <w:rsid w:val="00E4500F"/>
    <w:rsid w:val="00E4571A"/>
    <w:rsid w:val="00E4665B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A6C"/>
    <w:rsid w:val="00E86D50"/>
    <w:rsid w:val="00E8709B"/>
    <w:rsid w:val="00E94570"/>
    <w:rsid w:val="00E9482D"/>
    <w:rsid w:val="00E94F06"/>
    <w:rsid w:val="00E965EE"/>
    <w:rsid w:val="00EA03C8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EF77E1"/>
    <w:rsid w:val="00F01F2D"/>
    <w:rsid w:val="00F02EF3"/>
    <w:rsid w:val="00F0439D"/>
    <w:rsid w:val="00F04CE9"/>
    <w:rsid w:val="00F10A72"/>
    <w:rsid w:val="00F13C15"/>
    <w:rsid w:val="00F17C9C"/>
    <w:rsid w:val="00F205BF"/>
    <w:rsid w:val="00F2594C"/>
    <w:rsid w:val="00F25B59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5CF1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70B23"/>
  <w15:docId w15:val="{EECA8ABD-91FA-4DE4-AFE2-07C64678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1ee89e71-04cd-405e-9ca3-99e020c1694d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Props1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C3350A5-95DA-4644-9256-7FD6F76FA7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4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5567</Words>
  <Characters>39345</Characters>
  <Application>Microsoft Office Word</Application>
  <DocSecurity>0</DocSecurity>
  <Lines>327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3</cp:revision>
  <cp:lastPrinted>2024-01-24T10:31:00Z</cp:lastPrinted>
  <dcterms:created xsi:type="dcterms:W3CDTF">2025-03-12T06:30:00Z</dcterms:created>
  <dcterms:modified xsi:type="dcterms:W3CDTF">2025-03-12T06:33:00Z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